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FEEBB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</w:pPr>
      <w:bookmarkStart w:id="0" w:name="_GoBack"/>
      <w:bookmarkEnd w:id="0"/>
    </w:p>
    <w:p w14:paraId="27122ABA" w14:textId="03F1ED79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RADVILIŠKIO RAJONO SAVIVALDYBĖS TARYBA</w:t>
      </w:r>
    </w:p>
    <w:p w14:paraId="7EFDEF45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SPRENDIMAS</w:t>
      </w:r>
    </w:p>
    <w:p w14:paraId="6ED11D44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DĖL PRIĖMIMO Į RADVILIŠKIO RAJONO SAVIVALDYBĖS BENDROJO UGDYMO</w:t>
      </w:r>
    </w:p>
    <w:p w14:paraId="675CB136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MOKYKLAS TVARKOS APRAŠO PATVIRTINIMO</w:t>
      </w:r>
    </w:p>
    <w:p w14:paraId="6A075A07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2018 m. balandžio 5 d. Nr. T-806</w:t>
      </w:r>
    </w:p>
    <w:p w14:paraId="3715B096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Radviliškis</w:t>
      </w:r>
    </w:p>
    <w:p w14:paraId="56242F80" w14:textId="77777777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Vadovaudamasi Lietuvos Respublikos vietos savivaldos įstatymo 16 straipsnio 4 dalimi, 18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straipsnio 1 dalimi, Lietuvos Respublikos švietimo įstatymo 29 straipsnio 2 dalimi, Priėmimo į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valstybinę ir savivaldybės bendrojo ugdymo mokyklą, profesinio mokymo įstaigą bendrųjų kriterijų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sąrašu, patvirtintu Lietuvos Respublikos švietimo ir mokslo ministro 2004 m. birželio 25 d.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įsakymu Nr. ISAK-1019 „Dėl Priėmimo į valstybinę ir savivaldybės bendrojo ugdymo mokyklą,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profesinio mokymo įstaigą bendrųjų kriterijų sąrašo patvirtinimo“, Radviliškio rajono savivaldybės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taryba nusprendžia: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1. Patvirtinti Priėmimo į Radviliškio rajono savivaldybės bendrojo ugdymo mokyklas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tvarkos aprašą (pridedama).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2. Pripažinti netekusiais galios: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2.1. Radviliškio rajono savivaldybės tarybos 2011 m. gruodžio 15 d. sprendimą Nr. T-156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„Dėl Priėmimo į Radviliškio rajono savivaldybės bendrojo ugdymo mokyklas tvarkos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patvirtinimo“;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2.2. Radviliškio rajono savivaldybės tarybos 2012 m. vasario 2 d. sprendimą Nr. T-199 „Dėl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Priėmimo į Radviliškio rajono savivaldybės bendrojo ugdymo mokyklas tvarkos dalinio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pakeitimo“.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Šis sprendimas gali būti skundžiamas Lietuvos Respublikos administracinių bylų teisenos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įstatymo nustatyta tvarka.</w:t>
      </w:r>
    </w:p>
    <w:p w14:paraId="453F2681" w14:textId="77777777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Savivaldybės mero pavaduotojas Kazimieras Augulis</w:t>
      </w:r>
    </w:p>
    <w:p w14:paraId="0C38030C" w14:textId="77777777" w:rsidR="00777484" w:rsidRDefault="00777484" w:rsidP="00777484">
      <w:pPr>
        <w:shd w:val="clear" w:color="auto" w:fill="FFFFFF"/>
        <w:spacing w:after="300" w:line="240" w:lineRule="auto"/>
        <w:ind w:left="5184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</w:p>
    <w:p w14:paraId="4085A7AB" w14:textId="77777777" w:rsidR="00777484" w:rsidRDefault="00777484" w:rsidP="00777484">
      <w:pPr>
        <w:shd w:val="clear" w:color="auto" w:fill="FFFFFF"/>
        <w:spacing w:after="300" w:line="240" w:lineRule="auto"/>
        <w:ind w:left="5184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</w:p>
    <w:p w14:paraId="1B17F1A8" w14:textId="77777777" w:rsidR="00777484" w:rsidRDefault="00777484" w:rsidP="00777484">
      <w:pPr>
        <w:shd w:val="clear" w:color="auto" w:fill="FFFFFF"/>
        <w:spacing w:after="300" w:line="240" w:lineRule="auto"/>
        <w:ind w:left="5184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</w:p>
    <w:p w14:paraId="5996BD7E" w14:textId="77777777" w:rsidR="00777484" w:rsidRDefault="00777484" w:rsidP="00777484">
      <w:pPr>
        <w:shd w:val="clear" w:color="auto" w:fill="FFFFFF"/>
        <w:spacing w:after="300" w:line="240" w:lineRule="auto"/>
        <w:ind w:left="5184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</w:p>
    <w:p w14:paraId="4F5957C8" w14:textId="77777777" w:rsidR="00777484" w:rsidRDefault="00777484" w:rsidP="00777484">
      <w:pPr>
        <w:shd w:val="clear" w:color="auto" w:fill="FFFFFF"/>
        <w:spacing w:after="300" w:line="240" w:lineRule="auto"/>
        <w:ind w:left="5184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</w:p>
    <w:p w14:paraId="02DB148D" w14:textId="77777777" w:rsidR="00777484" w:rsidRDefault="00777484" w:rsidP="00777484">
      <w:pPr>
        <w:shd w:val="clear" w:color="auto" w:fill="FFFFFF"/>
        <w:spacing w:after="300" w:line="240" w:lineRule="auto"/>
        <w:ind w:left="5184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</w:p>
    <w:p w14:paraId="22B4F703" w14:textId="31897F08" w:rsidR="00777484" w:rsidRPr="00777484" w:rsidRDefault="00777484" w:rsidP="00777484">
      <w:pPr>
        <w:shd w:val="clear" w:color="auto" w:fill="FFFFFF"/>
        <w:spacing w:after="300" w:line="240" w:lineRule="auto"/>
        <w:ind w:left="5184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lastRenderedPageBreak/>
        <w:t>PATVIRTINTA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Radviliškio rajono savivaldybės tarybos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2018 m. balandžio 5 d. sprendimu Nr. T-806</w:t>
      </w:r>
    </w:p>
    <w:p w14:paraId="1374E0E5" w14:textId="77777777" w:rsidR="00777484" w:rsidRPr="00777484" w:rsidRDefault="00777484" w:rsidP="007774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PRIĖMIMO Į RADVILIŠKIO RAJONO SAVIVALDYBĖS BENDROJO UGDYMO</w:t>
      </w:r>
    </w:p>
    <w:p w14:paraId="05E46A84" w14:textId="77777777" w:rsidR="00777484" w:rsidRPr="00777484" w:rsidRDefault="00777484" w:rsidP="007774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MOKYKLAS TVARKOS APRAŠAS</w:t>
      </w:r>
    </w:p>
    <w:p w14:paraId="7208217A" w14:textId="77777777" w:rsid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</w:pPr>
    </w:p>
    <w:p w14:paraId="26D6FBB5" w14:textId="1BD91505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I SKYRIUS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</w: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BENDROSIOS NUOSTATOS</w:t>
      </w:r>
    </w:p>
    <w:p w14:paraId="2083199C" w14:textId="753EDF9F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1. Priėmimo į Radviliškio rajono savivaldybės (toliau – Savivaldybė) bendrojo ugdymo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mokyklas tvarkos aprašas (toliau – Aprašas) nustato asmenų priėmimą mokytis pagal pradinio,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pagrindinio, vidurinio ugdymo programas, priėmimo kriterijus, dokumentus, kuriuos turi pateikti į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mokyklą priimami asmenys, prašymų ir kitų dokumentų priėmimo vietą, pradžią ir pabaigą,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prašymų registravimo, asmenų priėmimo per mokslo metus tvarką.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2. Priėmimas mokytis pagal ikimokyklinio ir priešmokyklinio ugdymo programas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vykdomas centralizuotai, vadovaujantis Centralizuoto vaikų priėmimo į Radviliškio rajono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savivaldybės švietimo įstaigų ikimokyklinio ir priešmokyklinio ugdymo grupes tvarkos aprašu,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patvirtintu Radviliškio rajono savivaldybės tarybos 2013 m. lapkričio 21 d. sprendimu Nr. T-630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„Dėl Centralizuoto vaikų priėmimo į Radviliškio rajono savivaldybės švietimo įstaigų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ikimokyklinio ir priešmokyklinio ugdymo grupes tvarkos aprašo patvirtinimo“.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 Priėmimas mokytis pagal pradinio, pagrindinio, vidurinio ugdymo programas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nustatomas vadovaujantis: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3.1. Lietuvos Respublikos švietimo įstatymu;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3.2. Mokyklų, vykdančių formaliojo švietimo programas, tinklo kūrimo taisyklėmis,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patvirtintomis Lietuvos Respublikos Vyriausybės 2011 m. birželio 29 d. nutarimu Nr. 768 „Dėl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Mokyklų, vykdančių formaliojo švietimo programas, tinklo kūrimo taisyklių patvirtinimo“;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3.3. Nuosekliojo mokymosi pagal bendrojo ugdymo programas tvarkos aprašu, patvirtintu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Lietuvos Respublikos švietimo ir mokslo ministro 2005 m. balandžio 5 d. įsakymu Nr. ISAK-556„Dėl Nuosekliojo mokymosi pagal bendrojo ugdymo programas tvarkos aprašo patvirtinimo“;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3.4. Priėmimo į valstybinę ir savivaldybės bendrojo ugdymo mokyklą, profesinio mokymo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įstaigą bendrųjų kriterijų sąrašu, patvirtintu Lietuvos Respublikos švietimo ir mokslo ministro 2004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m. birželio 25 d. įsakymu Nr. ISAK-1019 „Dėl Priėmimo į valstybinę ir savivaldybės bendrojo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lavinimo, profesinio mokymo įstaigą bendrųjų kriterijų sąrašo patvirtinimo“;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3.5. Mokinių, turinčių specialiųjų ugdymosi poreikių, ugdymo organizavimo tvarkos aprašu,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patvirtintu Lietuvos Respublikos švietimo ir mokslo ministro 2011 m. rugsėjo 30 d. įsakymu Nr. V-1795 „Dėl Mokinių, turinčių specialiųjų ugdymosi poreikių, ugdymo organizavimo tvarkos aprašo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patvirtinimo“;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3.6. Užsieniečių ir Lietuvos Respublikos piliečių, atvykusių ar grįžusių gyventi ir dirbti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Lietuvos Respublikoje, vaikų ir suaugusiųjų ugdymo išlyginamosiose klasėse ir išlyginamosiose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mobiliosiose grupėse tvarkos aprašu, patvirtintu Lietuvos Respublikos švietimo ir mokslo ministro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2005 m. rugsėjo 1 d. įsakymu Nr. ISAK-1800 „Dėl Užsieniečių ir Lietuvos Respublikos piliečių,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atvykusių ar grįžusių gyventi ir dirbti Lietuvos Respublikoje, vaikų ir suaugusiųjų ugdymo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išlyginamosiose klasėse ir išlyginamosiose mobiliosiose grupėse tvarkos aprašo patvirtinimo“;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3.7. šiuo Aprašu.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4. Radviliškio rajono savivaldybės taryba (toliau – Savivaldybės taryba) kiekvienais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kalendoriniais metais iki kovo 31 d. nustato priėmimo laiką, kiekvienos klasės klasių skaičių ir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mokinių skaičių jose, priešmokyklinio ugdymo grupių ir vaikų skaičiaus vidurkį grupėse kitiems</w:t>
      </w:r>
    </w:p>
    <w:p w14:paraId="607A3AC1" w14:textId="48341238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lastRenderedPageBreak/>
        <w:t>mokslo metams. Jei sudaromos jungtinės klasės, nustato, iš kokių klasių sudaroma jungtinė klasė,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nurodant kiekvienos klasės mokinių skaičių. Iki rugsėjo 1 d. klasių (grupių) ir mokinių skaičių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patikslina: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4.1. jei iš tai mokyklai priskirtos aptarnavimo teritorijos prašymų mokytis bendrojo ugdymo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mokykloje skaičius yra didesnis nei buvo nustatytas iki kovo 31 d., mokinių, klasių ir (ar)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priešmokyklinio ugdymo grupių skaičius, neperkeliant mokinių mokytis į antrą pamainą ir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nepažeidžiant higienos normų, didinamas;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4.2. jei bendrojo ugdymo mokykla nesurenka nustatyto mokinių skaičiaus ir nesudaro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patvirtinto klasių ir (ar) priešmokyklinio ugdymo grupių skaičiaus, mokinių, klasių ir (ar) grupių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skaičius mažinamas.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5. Aktualiems, Apraše nenumatytiems atvejams nagrinėti sudaroma Priėmimo į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Radviliškio rajono savivaldybės bendrojo ugdymo mokyklų Apraše nenumatytų atvejų komisija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(toliau – Priėmimo komisija). Priėmimo komisija sudaroma iš Savivaldybės tarybos, Savivaldybės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administracijos ir mokyklų atstovų. Komisijos sudėtį ir darbo reglamentą tvirtina savivaldybės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taryba.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6. Priėmimą mokytis pagal bendrojo ugdymo programas vykdo mokyklos direktorius ir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priėmimo komisija, kurios sudėtį ir darbo tvarką tvirtina mokyklos direktorius.</w:t>
      </w:r>
    </w:p>
    <w:p w14:paraId="4C2CEA16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II SKYRIUS</w:t>
      </w:r>
    </w:p>
    <w:p w14:paraId="721D1E03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PRIĖMIMO Į BENDROJO UGDYMO MOKYKLAS KRITERIJAI</w:t>
      </w:r>
    </w:p>
    <w:p w14:paraId="621558FE" w14:textId="0A0EB04E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7. Į Savivaldybės bendrojo ugdymo mokyklas mokytis pagal priešmokyklinio ugdymo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programą, pradinio ugdymo programą, pagrindinio ugdymo programos pirmąją ir antrąją dalis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pirmumo teise priimami toje mokykloje mokytis pageidaujantys asmenys, gyvenantys mokyklai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priskirtoje aptarnavimo teritorijoje. Į likusias laisvas vietas klasėse (grupėse) gali būti priimti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asmenys, negyvenantys mokyklos aptarnavimo teritorijoje. Pirmumo teise priimami: asmenys, dėl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įgimtų ar įgytų sutrikimų turintys specialiųjų ugdymosi poreikių, mokykloje jau besimokančių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mokinių broliai ir seserys, arčiausiai mokyklos gyvenantys asmenys. Kiti asmenys priimami pagal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prašymų pateikimo datą.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8. Mokiniai, baigę pagrindinio ugdymo programos I dalį, tęsti mokymąsi pagal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pagrindinio ugdymo programos II dalį, gali: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8.1. bendrojo ugdymo mokyklose, vykdančiose pagrindinio ugdymo programos II dalį;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8.2. profesinėje mokykloje, vykdančioje pagrindinio ugdymo programos II dalį.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9. Visiems iki 16 metų asmenims, gyvenantiems mokyklai priskirtoje aptarnavimo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teritorijoje, ugdymas privalomas pagal priešmokyklinio, pradinio, pagrindinio ugdymo programas.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10. Mokinys tęsti mokslą priimamas, kai pateikia mokymosi pasiekimų pažymėjimą arba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pažymą apie mokymosi pasiekimus ankstesnėje mokykloje.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11. Asmenys, dėl įgimtų ar įgytų sutrikimų turintys specialiųjų ugdymosi poreikių,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priimami į arčiausiai savo gyvenamosios vietos esančias mokyklas, vykdančias bendrojo ugdymo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programas. Savivaldybės ir kitų savivaldybių teritorijose gyvenantys asmenys, dėl įgimtų ar įgytų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sutrikimų turintys didelių ar labai didelių specialiųjų ugdymosi poreikių, priimami į bendrojo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ugdymo mokyklos specialiąsias klases (grupes).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12. Lietuvos Respublikos piliečiai ir užsieniečiai, grįžę ar atvykę nuolat ar laikinai gyventi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Lietuvos Respublikoje, nemokantys valstybinės kalbos, į bendrojo ugdymo mokyklas priimami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v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adovaujantis Lietuvos Respublikos švietimo ir mokslo ministro 2005 m. rugsėjo 1 d. įsakymu Nr.ISAK-1800 „Dėl Užsieniečių ir Lietuvos Respublikos piliečių, atvykusių ar grįžusių gyventi ir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dirbti Lietuvos Respublikoje, vaikų ir suaugusiųjų ugdymo išlyginamosiose klasėse ir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išlyginamosiose mobiliosiose grupėse tvarkos aprašo patvirtinimo“ patvirtintu aprašu.</w:t>
      </w:r>
    </w:p>
    <w:p w14:paraId="6803E482" w14:textId="77777777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lastRenderedPageBreak/>
        <w:t>13. Per mokslo metus mokiniai priimami į laisvas vietas esančiuose klasių komplektuose.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Jei per mokslo metus į mokyklą atvyksta asmuo, gyvenantis jos aptarnavimo teritorijoje, ir joje nėra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laisvų vietų, asmuo priimamas į klasę, vadovaujantis mokyklų, vykdančių formaliojo švietimo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programas, tinklo kūrimo taisyklių 25.7 punktu arba nukreipiamas į artimiausią tą pačią programą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vykdančią bendrojo ugdymo mokyklą.</w:t>
      </w:r>
    </w:p>
    <w:p w14:paraId="78624011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III SKYRIUS</w:t>
      </w:r>
    </w:p>
    <w:p w14:paraId="7D3A2DE0" w14:textId="77777777" w:rsid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PRIĖMIMAS MOKYTIS PAGAL PRADINIO UGDYMO PROGRAMĄ</w:t>
      </w:r>
    </w:p>
    <w:p w14:paraId="6C40BB24" w14:textId="2BEEA4EF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14. Mokytis pagal pradinio ugdymo programą priimamas vaikas, kai jam tais kalendoriniais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metais sueina 7 metai. Pradinis ugdymas pradedamas vaikui teikti vienais metais anksčiau, jeigu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vaikas tėvų (globėjų) sprendimu buvo ugdomas pagal priešmokyklinio ugdymo programą metais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anksčiau.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15. Bendrojo ugdymo mokyklai vaiko tėvai (globėjai) pateikia: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15.1. prašymą mokytis pagal pradinio ugdymo programą;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15.2. nustatytos formos vaiko sveikatos pažymėjimą;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15.3. vaiko tapatybę patvirtinantį dokumentą (gimimo liudijimą, asmens tapatybės kortelę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ar pasą) ir jo kopiją.</w:t>
      </w:r>
    </w:p>
    <w:p w14:paraId="0A5854BC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IV SKYRIUS</w:t>
      </w:r>
    </w:p>
    <w:p w14:paraId="14B62CD8" w14:textId="77777777" w:rsid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PRIĖMIMAS MOKYTIS PAGAL PAGRINDINIO UGDYMO PROGRAMĄ</w:t>
      </w:r>
    </w:p>
    <w:p w14:paraId="79B75F20" w14:textId="3CCCB7DB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16. Pradėti mokytis pagal pagrindinio ugdymo programą (pagrindinio ugdymo programos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pirmąją dalį) priimamas asmuo, įgijęs pradinį išsilavinimą.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17. Asmuo, baigęs adaptuotą pradinio ugdymo programą, specialiąją pradinio ugdymo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programą arba pradinio ugdymo individualizuotą programą, priimamas mokytis pagal pagrindinio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ugdymo individualizuotą programą (pagrindinio ugdymo individualizuotos programos pirmąją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dalį), pateikęs pradinio ugdymo pasiekimų pažymėjimą arba pažymą apie mokymosi pasiekimus.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18. Asmuo, naujai atvykęs mokytis, bendrojo ugdymo mokyklos vadovui pateikia: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18.1. prašymą mokytis pagal pagrindinio ugdymo programos I arba II dalį;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18.2. vaiko tapatybę patvirtinantį dokumentą (gimimo liudijimą, asmens tapatybės kortelę ar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pasą) ir jo kopiją;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18.3. nustatytos formos vaiko sveikatos pažymėjimą;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18.4. įgyto išsilavinimo pažymėjimą arba pažymą apie pasiekimus.</w:t>
      </w:r>
    </w:p>
    <w:p w14:paraId="0AC93CA0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V SKYRIUS</w:t>
      </w:r>
    </w:p>
    <w:p w14:paraId="15709D08" w14:textId="77777777" w:rsid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PRIĖMIMAS MOKYTIS PAGAL VIDURINIO UGDYMO PROGRAMĄ</w:t>
      </w:r>
    </w:p>
    <w:p w14:paraId="65276C1D" w14:textId="42F3938F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19. Pradėti mokytis pagal vidurinio ugdymo programą priimamas asmuo, įgijęs pagrindinį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išsilavinimą.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20. Bendrojo ugdymo mokyklą mokytis pagal vidurinio ugdymo programą asmenys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renkasi patys. Į mokyklą pirmumo teise priimami asmenys, pageidaujantys tęsti mokymąsi pagal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vidurinio ugdymo programą, baigę joje pagrindinio ugdymo programą. Jei norinčiųjų yra daugiau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nei laisvų vietų, pirmiausia priimami asmenys: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20.1. gyvenantys Savivaldybės teritorijoje, atsižvelgiant į jų pageidavimą tęsti dalykų,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dalykų modulių, kurių buvo pradėję mokytis pagal pagrindinio ugdymo programos antrąją dalį;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lastRenderedPageBreak/>
        <w:t>20.2. atsižvelgus į mokymosi pasiekimus (pagrindinio ugdymo pasiekimų patikrinimo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įvertinimus, metinius įvertinimus, atliktus projektinius darbus, mokinio sukauptą darbų aplanką ar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kitus mokymosi pasiekimų vertinimus).</w:t>
      </w:r>
    </w:p>
    <w:p w14:paraId="346B71E6" w14:textId="77777777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21. Asmuo, naujai atvykęs mokytis, bendrojo ugdymo mokyklai pateikia: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21.1. prašymą mokytis pagal vidurinio ugdymo programą;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21.2. pagrindinio išsilavinimo pažymėjimą ar kitą dokumentą, liudijantį įgytą pagrindinį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išsilavinimą.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21.3. tapatybę patvirtinantį dokumentą (gimimo liudijimą, asmens tapatybės kortelę ar pasą)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ir jo kopiją.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21.4. nustatytos formos sveikatos pažymėjimą.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21.5. Asmenys, baigusieji pagrindinio ugdymo programą bei norintys tęsti mokymąsi pagal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vidurinio ugdymo programą toje pačioje mokykloje, mokyklos direktoriui pateikia tik prašymą.</w:t>
      </w:r>
    </w:p>
    <w:p w14:paraId="18FD4479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VI SKYRIUS</w:t>
      </w:r>
    </w:p>
    <w:p w14:paraId="44C6357D" w14:textId="77777777" w:rsid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PRAŠYMŲ REGISTRAVIMO IR PRIĖMIMO ĮFORMINIMO TVARKA</w:t>
      </w:r>
    </w:p>
    <w:p w14:paraId="4738871C" w14:textId="2E0FBCDC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22. Asmuo priimamas mokytis mokyklos direktoriaus įsakymu, sudarius dvišalę mokymo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sutartį. Mokymo sutartį už vaiką iki 14 metų jo vardu sudaro tėvai (globėjai), veikdami išimtinai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vaiko interesų labui. Vaikas nuo 14 iki 18 metų mokymo sutartį sudaro turėdamas tėvų (rūpintojų)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rašytinį sutikimą.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23. Abu mokymo sutarties egzempliorius pasirašo mokyklos direktorius ir prašymo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pateikėjas. Vienas sutarties egzempliorius įteikiamas prašymą pateikusiam asmeniui, kitas sutarties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egzempliorius saugomas mokykloje.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24. Mokymo sutartyje nurodomos sutarties šalys, mokymosi programa, jos baigimo forma,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šalių įsipareigojimai, sutarties terminas, jos keitimo, nutraukimo pagrindai ir padariniai.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25. Švietimo santykiai prasideda nuo mokinio pirmos mokymosi dienos. Mokymo sutartis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turi būti sudaryta iki pirmos mokymosi dienos. Mokymo sutartis registruojama mokykloje, jeigu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Lietuvos Respublikos įstatymai nenustato kitaip.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26. Sudarius mokymo sutartį, asmuo įtraukiamas į mokinių duomenų bazę. Jei mokinys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pereina mokytis į kitą mokyklą ir pateikia tai patvirtinantį pranešimą, jis yra išregistruojamas iš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mokinių duomenų bazės, o jį priimančiai mokyklai persiunčiama pažyma apie jo mokymosi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pasiekimus.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27. Asmenų paskirstymas į klases įforminamas mokyklos direktoriaus įsakymu (-</w:t>
      </w:r>
      <w:proofErr w:type="spellStart"/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ais</w:t>
      </w:r>
      <w:proofErr w:type="spellEnd"/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) iki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 xml:space="preserve"> 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rugpjūčio 31 d.</w:t>
      </w:r>
    </w:p>
    <w:p w14:paraId="5EA41D01" w14:textId="77777777" w:rsidR="00777484" w:rsidRPr="00777484" w:rsidRDefault="00777484" w:rsidP="0077748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VII SKYRIUS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</w:r>
      <w:r w:rsidRPr="0077748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lt-LT"/>
        </w:rPr>
        <w:t>BAIGIAMOSIOS NUOSTATOS</w:t>
      </w:r>
    </w:p>
    <w:p w14:paraId="58F9956A" w14:textId="77777777" w:rsidR="00777484" w:rsidRPr="00777484" w:rsidRDefault="00777484" w:rsidP="007774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</w:pP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t>28. Aprašo įgyvendinimo priežiūrą vykdo Radviliškio rajono savivaldybės administracijos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Švietimo, kultūros ir sporto skyrius.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29. Už Aprašo nuostatų nevykdymą arba netinkamą vykdymą Aprašą įgyvendinantys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subjektai atsako teisės aktų nustatyta tvarka.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30. Aprašas (jo pakeitimai ir (ar) papildymai) skelbiamas Radviliškio rajono savivaldybės</w:t>
      </w:r>
      <w:r w:rsidRPr="00777484">
        <w:rPr>
          <w:rFonts w:ascii="Times New Roman" w:eastAsia="Times New Roman" w:hAnsi="Times New Roman" w:cs="Times New Roman"/>
          <w:color w:val="151515"/>
          <w:sz w:val="24"/>
          <w:szCs w:val="24"/>
          <w:lang w:eastAsia="lt-LT"/>
        </w:rPr>
        <w:br/>
        <w:t>interneto svetainėje.</w:t>
      </w:r>
    </w:p>
    <w:p w14:paraId="0866C9A5" w14:textId="77777777" w:rsidR="0078547F" w:rsidRPr="00777484" w:rsidRDefault="0078547F">
      <w:pPr>
        <w:rPr>
          <w:rFonts w:ascii="Times New Roman" w:hAnsi="Times New Roman" w:cs="Times New Roman"/>
          <w:sz w:val="24"/>
          <w:szCs w:val="24"/>
        </w:rPr>
      </w:pPr>
    </w:p>
    <w:sectPr w:rsidR="0078547F" w:rsidRPr="00777484" w:rsidSect="007774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40"/>
    <w:rsid w:val="00517840"/>
    <w:rsid w:val="0077742D"/>
    <w:rsid w:val="00777484"/>
    <w:rsid w:val="0078547F"/>
    <w:rsid w:val="00847904"/>
    <w:rsid w:val="00D1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2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77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748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7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774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77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748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7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77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8602</Words>
  <Characters>4904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Kavaliauskienė</dc:creator>
  <cp:lastModifiedBy>Default</cp:lastModifiedBy>
  <cp:revision>4</cp:revision>
  <cp:lastPrinted>2021-11-30T17:20:00Z</cp:lastPrinted>
  <dcterms:created xsi:type="dcterms:W3CDTF">2021-11-30T17:12:00Z</dcterms:created>
  <dcterms:modified xsi:type="dcterms:W3CDTF">2021-11-30T17:20:00Z</dcterms:modified>
</cp:coreProperties>
</file>