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E57" w:rsidRDefault="00793E57" w:rsidP="005B0679">
      <w:pPr>
        <w:pStyle w:val="Betarp"/>
      </w:pPr>
      <w:bookmarkStart w:id="0" w:name="_GoBack"/>
      <w:bookmarkEnd w:id="0"/>
    </w:p>
    <w:p w:rsidR="00793E57" w:rsidRDefault="00793E57" w:rsidP="00793E57">
      <w:pPr>
        <w:jc w:val="center"/>
        <w:rPr>
          <w:b/>
        </w:rPr>
      </w:pPr>
      <w:r>
        <w:rPr>
          <w:b/>
        </w:rPr>
        <w:t>RADVILIŠKIO GRAŽINOS PAGRINDINĖS MOKYKLOS DIREKTORIAUS</w:t>
      </w:r>
    </w:p>
    <w:p w:rsidR="00793E57" w:rsidRDefault="0070111D" w:rsidP="00793E57">
      <w:pPr>
        <w:jc w:val="center"/>
        <w:rPr>
          <w:b/>
        </w:rPr>
      </w:pPr>
      <w:r>
        <w:rPr>
          <w:b/>
        </w:rPr>
        <w:t>2017</w:t>
      </w:r>
      <w:r w:rsidR="00793E57">
        <w:rPr>
          <w:b/>
        </w:rPr>
        <w:t xml:space="preserve"> METŲ VEIKLOS ATASKAITA</w:t>
      </w:r>
    </w:p>
    <w:p w:rsidR="00793E57" w:rsidRPr="005C5CBC" w:rsidRDefault="00793E57" w:rsidP="00793E57">
      <w:pPr>
        <w:numPr>
          <w:ilvl w:val="1"/>
          <w:numId w:val="1"/>
        </w:numPr>
        <w:rPr>
          <w:b/>
        </w:rPr>
      </w:pPr>
      <w:r w:rsidRPr="005C5CBC">
        <w:rPr>
          <w:b/>
        </w:rPr>
        <w:t>Įstaigos pristatymas:</w:t>
      </w:r>
    </w:p>
    <w:p w:rsidR="00793E57" w:rsidRDefault="00793E57" w:rsidP="00793E57">
      <w:pPr>
        <w:numPr>
          <w:ilvl w:val="1"/>
          <w:numId w:val="2"/>
        </w:numPr>
      </w:pPr>
      <w:r>
        <w:t xml:space="preserve">Radviliškio Gražinos pagrindinė mokykla, Gražinos g. 8, 82132, Radviliškis, (8 422) 53 711, </w:t>
      </w:r>
      <w:proofErr w:type="spellStart"/>
      <w:r>
        <w:t>info@grazinosmok.lt</w:t>
      </w:r>
      <w:proofErr w:type="spellEnd"/>
      <w:r>
        <w:t xml:space="preserve">, </w:t>
      </w:r>
      <w:proofErr w:type="spellStart"/>
      <w:r>
        <w:t>grazinosmokykla</w:t>
      </w:r>
      <w:proofErr w:type="spellEnd"/>
      <w:r>
        <w:t>.</w:t>
      </w:r>
    </w:p>
    <w:p w:rsidR="00793E57" w:rsidRDefault="00793E57" w:rsidP="00793E57">
      <w:pPr>
        <w:numPr>
          <w:ilvl w:val="1"/>
          <w:numId w:val="2"/>
        </w:numPr>
      </w:pPr>
      <w:r>
        <w:t>Direktorius Laisvūnas Vaičiūnas, II vadybinė kategorija, 24 m.</w:t>
      </w:r>
    </w:p>
    <w:p w:rsidR="00793E57" w:rsidRDefault="00793E57" w:rsidP="00793E57">
      <w:pPr>
        <w:numPr>
          <w:ilvl w:val="1"/>
          <w:numId w:val="2"/>
        </w:numPr>
      </w:pPr>
      <w:r>
        <w:t xml:space="preserve"> </w:t>
      </w:r>
      <w:r w:rsidRPr="005C5CBC">
        <w:rPr>
          <w:b/>
        </w:rPr>
        <w:t>Įstaigos darbuotojai</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3166"/>
        <w:gridCol w:w="3546"/>
      </w:tblGrid>
      <w:tr w:rsidR="00793E57" w:rsidTr="00A300A6">
        <w:trPr>
          <w:trHeight w:val="291"/>
        </w:trPr>
        <w:tc>
          <w:tcPr>
            <w:tcW w:w="2917" w:type="dxa"/>
          </w:tcPr>
          <w:p w:rsidR="00793E57" w:rsidRDefault="00793E57" w:rsidP="00A300A6">
            <w:pPr>
              <w:jc w:val="center"/>
            </w:pPr>
            <w:r>
              <w:t>Administracijos darbuotojai</w:t>
            </w:r>
          </w:p>
        </w:tc>
        <w:tc>
          <w:tcPr>
            <w:tcW w:w="3166" w:type="dxa"/>
          </w:tcPr>
          <w:p w:rsidR="00793E57" w:rsidRDefault="00793E57" w:rsidP="00A300A6">
            <w:pPr>
              <w:jc w:val="center"/>
            </w:pPr>
            <w:r>
              <w:t>Specialistai</w:t>
            </w:r>
          </w:p>
        </w:tc>
        <w:tc>
          <w:tcPr>
            <w:tcW w:w="3546" w:type="dxa"/>
          </w:tcPr>
          <w:p w:rsidR="00793E57" w:rsidRDefault="00793E57" w:rsidP="00A300A6">
            <w:pPr>
              <w:jc w:val="center"/>
            </w:pPr>
            <w:r>
              <w:t>Pagalbinis personalas</w:t>
            </w:r>
          </w:p>
        </w:tc>
      </w:tr>
      <w:tr w:rsidR="00793E57" w:rsidTr="00A300A6">
        <w:trPr>
          <w:trHeight w:val="307"/>
        </w:trPr>
        <w:tc>
          <w:tcPr>
            <w:tcW w:w="2917" w:type="dxa"/>
          </w:tcPr>
          <w:p w:rsidR="00793E57" w:rsidRDefault="00793E57" w:rsidP="00A300A6">
            <w:pPr>
              <w:jc w:val="center"/>
            </w:pPr>
            <w:r>
              <w:t>3</w:t>
            </w:r>
          </w:p>
        </w:tc>
        <w:tc>
          <w:tcPr>
            <w:tcW w:w="3166" w:type="dxa"/>
          </w:tcPr>
          <w:p w:rsidR="00793E57" w:rsidRDefault="0070111D" w:rsidP="00A300A6">
            <w:pPr>
              <w:jc w:val="center"/>
            </w:pPr>
            <w:r>
              <w:t>64</w:t>
            </w:r>
          </w:p>
        </w:tc>
        <w:tc>
          <w:tcPr>
            <w:tcW w:w="3546" w:type="dxa"/>
          </w:tcPr>
          <w:p w:rsidR="00793E57" w:rsidRDefault="00793E57" w:rsidP="00A300A6">
            <w:pPr>
              <w:jc w:val="center"/>
            </w:pPr>
            <w:r>
              <w:t>24</w:t>
            </w:r>
          </w:p>
        </w:tc>
      </w:tr>
    </w:tbl>
    <w:p w:rsidR="00793E57" w:rsidRPr="00FE70CF" w:rsidRDefault="00793E57" w:rsidP="00793E57">
      <w:pPr>
        <w:pStyle w:val="Sraopastraipa"/>
        <w:numPr>
          <w:ilvl w:val="1"/>
          <w:numId w:val="2"/>
        </w:numPr>
        <w:rPr>
          <w:b/>
        </w:rPr>
      </w:pPr>
      <w:r w:rsidRPr="00FE70CF">
        <w:rPr>
          <w:b/>
        </w:rPr>
        <w:t>Įstaigos suteiktų paslaugų gavėjai</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5"/>
        <w:gridCol w:w="2925"/>
        <w:gridCol w:w="2754"/>
      </w:tblGrid>
      <w:tr w:rsidR="00793E57" w:rsidTr="00A300A6">
        <w:trPr>
          <w:trHeight w:val="360"/>
        </w:trPr>
        <w:tc>
          <w:tcPr>
            <w:tcW w:w="3975" w:type="dxa"/>
            <w:tcBorders>
              <w:tl2br w:val="single" w:sz="4" w:space="0" w:color="auto"/>
            </w:tcBorders>
          </w:tcPr>
          <w:p w:rsidR="00793E57" w:rsidRDefault="00793E57" w:rsidP="00A300A6">
            <w:r>
              <w:t xml:space="preserve">Paslaugų gavėjai              Laikotarpis           </w:t>
            </w:r>
          </w:p>
        </w:tc>
        <w:tc>
          <w:tcPr>
            <w:tcW w:w="2925" w:type="dxa"/>
          </w:tcPr>
          <w:p w:rsidR="00793E57" w:rsidRDefault="00436D89" w:rsidP="00A300A6">
            <w:r>
              <w:t>2017</w:t>
            </w:r>
            <w:r w:rsidR="00793E57">
              <w:t>-01-01</w:t>
            </w:r>
          </w:p>
        </w:tc>
        <w:tc>
          <w:tcPr>
            <w:tcW w:w="2754" w:type="dxa"/>
          </w:tcPr>
          <w:p w:rsidR="00793E57" w:rsidRDefault="00436D89" w:rsidP="00A300A6">
            <w:r>
              <w:t>2017</w:t>
            </w:r>
            <w:r w:rsidR="00793E57">
              <w:t>-12-31</w:t>
            </w:r>
          </w:p>
        </w:tc>
      </w:tr>
      <w:tr w:rsidR="00793E57" w:rsidTr="00A300A6">
        <w:trPr>
          <w:trHeight w:val="236"/>
        </w:trPr>
        <w:tc>
          <w:tcPr>
            <w:tcW w:w="3975" w:type="dxa"/>
          </w:tcPr>
          <w:p w:rsidR="00793E57" w:rsidRDefault="00793E57" w:rsidP="00A300A6">
            <w:r>
              <w:t>Mokinių skaičius</w:t>
            </w:r>
          </w:p>
        </w:tc>
        <w:tc>
          <w:tcPr>
            <w:tcW w:w="2925" w:type="dxa"/>
          </w:tcPr>
          <w:p w:rsidR="00793E57" w:rsidRDefault="00617AED" w:rsidP="00A300A6">
            <w:r>
              <w:t>562</w:t>
            </w:r>
          </w:p>
        </w:tc>
        <w:tc>
          <w:tcPr>
            <w:tcW w:w="2754" w:type="dxa"/>
          </w:tcPr>
          <w:p w:rsidR="00793E57" w:rsidRDefault="00617AED" w:rsidP="00A300A6">
            <w:r>
              <w:t>583</w:t>
            </w:r>
          </w:p>
        </w:tc>
      </w:tr>
      <w:tr w:rsidR="00793E57" w:rsidTr="00A300A6">
        <w:trPr>
          <w:trHeight w:val="297"/>
        </w:trPr>
        <w:tc>
          <w:tcPr>
            <w:tcW w:w="3975" w:type="dxa"/>
          </w:tcPr>
          <w:p w:rsidR="00793E57" w:rsidRDefault="00793E57" w:rsidP="00A300A6">
            <w:r>
              <w:t>Soc. remtini</w:t>
            </w:r>
          </w:p>
        </w:tc>
        <w:tc>
          <w:tcPr>
            <w:tcW w:w="2925" w:type="dxa"/>
          </w:tcPr>
          <w:p w:rsidR="00793E57" w:rsidRDefault="00436D89" w:rsidP="00A300A6">
            <w:r>
              <w:t>185</w:t>
            </w:r>
          </w:p>
        </w:tc>
        <w:tc>
          <w:tcPr>
            <w:tcW w:w="2754" w:type="dxa"/>
          </w:tcPr>
          <w:p w:rsidR="00793E57" w:rsidRDefault="00436D89" w:rsidP="00A300A6">
            <w:r>
              <w:t>153</w:t>
            </w:r>
          </w:p>
        </w:tc>
      </w:tr>
      <w:tr w:rsidR="00793E57" w:rsidTr="00A300A6">
        <w:trPr>
          <w:trHeight w:val="204"/>
        </w:trPr>
        <w:tc>
          <w:tcPr>
            <w:tcW w:w="3975" w:type="dxa"/>
          </w:tcPr>
          <w:p w:rsidR="00793E57" w:rsidRDefault="00793E57" w:rsidP="00A300A6">
            <w:proofErr w:type="spellStart"/>
            <w:r>
              <w:t>Spec</w:t>
            </w:r>
            <w:proofErr w:type="spellEnd"/>
            <w:r>
              <w:t>. poreikių</w:t>
            </w:r>
          </w:p>
        </w:tc>
        <w:tc>
          <w:tcPr>
            <w:tcW w:w="2925" w:type="dxa"/>
          </w:tcPr>
          <w:p w:rsidR="00793E57" w:rsidRDefault="00A0148E" w:rsidP="00A300A6">
            <w:r>
              <w:t>99</w:t>
            </w:r>
          </w:p>
        </w:tc>
        <w:tc>
          <w:tcPr>
            <w:tcW w:w="2754" w:type="dxa"/>
          </w:tcPr>
          <w:p w:rsidR="00793E57" w:rsidRDefault="00A0148E" w:rsidP="00A300A6">
            <w:r>
              <w:t>166</w:t>
            </w:r>
          </w:p>
        </w:tc>
      </w:tr>
      <w:tr w:rsidR="00793E57" w:rsidTr="00A300A6">
        <w:trPr>
          <w:trHeight w:val="252"/>
        </w:trPr>
        <w:tc>
          <w:tcPr>
            <w:tcW w:w="3975" w:type="dxa"/>
          </w:tcPr>
          <w:p w:rsidR="00793E57" w:rsidRDefault="00793E57" w:rsidP="00A300A6">
            <w:r>
              <w:t>Lavinamosios klasės</w:t>
            </w:r>
          </w:p>
        </w:tc>
        <w:tc>
          <w:tcPr>
            <w:tcW w:w="2925" w:type="dxa"/>
          </w:tcPr>
          <w:p w:rsidR="00793E57" w:rsidRDefault="00793E57" w:rsidP="00A300A6">
            <w:r>
              <w:t>36</w:t>
            </w:r>
          </w:p>
        </w:tc>
        <w:tc>
          <w:tcPr>
            <w:tcW w:w="2754" w:type="dxa"/>
          </w:tcPr>
          <w:p w:rsidR="00793E57" w:rsidRDefault="0070111D" w:rsidP="00A300A6">
            <w:r>
              <w:t>38</w:t>
            </w:r>
          </w:p>
        </w:tc>
      </w:tr>
    </w:tbl>
    <w:p w:rsidR="00793E57" w:rsidRDefault="00793E57" w:rsidP="00793E57"/>
    <w:p w:rsidR="00793E57" w:rsidRDefault="00793E57" w:rsidP="00793E57">
      <w:pPr>
        <w:rPr>
          <w:b/>
        </w:rPr>
      </w:pPr>
      <w:r>
        <w:t>1.5.</w:t>
      </w:r>
      <w:r w:rsidRPr="005C5CBC">
        <w:rPr>
          <w:b/>
        </w:rPr>
        <w:t>Finansavimo šaltiniai:</w:t>
      </w:r>
      <w:r>
        <w:rPr>
          <w:b/>
        </w:rPr>
        <w:t xml:space="preserve">                                                                2017 m.</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8"/>
        <w:gridCol w:w="3217"/>
      </w:tblGrid>
      <w:tr w:rsidR="00793E57" w:rsidRPr="00FF348A" w:rsidTr="00A300A6">
        <w:trPr>
          <w:trHeight w:val="274"/>
        </w:trPr>
        <w:tc>
          <w:tcPr>
            <w:tcW w:w="6428" w:type="dxa"/>
          </w:tcPr>
          <w:p w:rsidR="00793E57" w:rsidRPr="00FF348A" w:rsidRDefault="00793E57" w:rsidP="00A300A6">
            <w:pPr>
              <w:jc w:val="center"/>
            </w:pPr>
            <w:r>
              <w:t>Finansavimo šaltiniai (tūkst. €</w:t>
            </w:r>
            <w:r w:rsidRPr="00FF348A">
              <w:t>)</w:t>
            </w:r>
          </w:p>
        </w:tc>
        <w:tc>
          <w:tcPr>
            <w:tcW w:w="3217" w:type="dxa"/>
          </w:tcPr>
          <w:p w:rsidR="00793E57" w:rsidRPr="00FF348A" w:rsidRDefault="00793E57" w:rsidP="00A300A6">
            <w:pPr>
              <w:ind w:left="-279" w:firstLine="279"/>
              <w:jc w:val="center"/>
            </w:pPr>
            <w:r>
              <w:t>Lėšos (tūkst. €</w:t>
            </w:r>
            <w:r w:rsidRPr="00FF348A">
              <w:t>)</w:t>
            </w:r>
          </w:p>
        </w:tc>
      </w:tr>
      <w:tr w:rsidR="00793E57" w:rsidRPr="005D6414" w:rsidTr="00A300A6">
        <w:trPr>
          <w:trHeight w:val="274"/>
        </w:trPr>
        <w:tc>
          <w:tcPr>
            <w:tcW w:w="6428" w:type="dxa"/>
          </w:tcPr>
          <w:p w:rsidR="00793E57" w:rsidRPr="005D6414" w:rsidRDefault="00793E57" w:rsidP="00A300A6">
            <w:pPr>
              <w:rPr>
                <w:b/>
              </w:rPr>
            </w:pPr>
            <w:r w:rsidRPr="005D6414">
              <w:rPr>
                <w:b/>
              </w:rPr>
              <w:t>1. Savivaldybės biudžetas</w:t>
            </w:r>
          </w:p>
        </w:tc>
        <w:tc>
          <w:tcPr>
            <w:tcW w:w="3217" w:type="dxa"/>
          </w:tcPr>
          <w:p w:rsidR="00793E57" w:rsidRPr="005D6414" w:rsidRDefault="00793E57" w:rsidP="00A300A6">
            <w:pPr>
              <w:rPr>
                <w:b/>
              </w:rPr>
            </w:pPr>
            <w:r>
              <w:rPr>
                <w:b/>
              </w:rPr>
              <w:t>1185,0</w:t>
            </w:r>
          </w:p>
        </w:tc>
      </w:tr>
      <w:tr w:rsidR="00793E57" w:rsidRPr="003E02D2" w:rsidTr="00A300A6">
        <w:trPr>
          <w:trHeight w:val="274"/>
        </w:trPr>
        <w:tc>
          <w:tcPr>
            <w:tcW w:w="6428" w:type="dxa"/>
          </w:tcPr>
          <w:p w:rsidR="00793E57" w:rsidRPr="00421C21" w:rsidRDefault="00793E57" w:rsidP="00A300A6">
            <w:r>
              <w:t xml:space="preserve">1.1. </w:t>
            </w:r>
            <w:r w:rsidRPr="00421C21">
              <w:t>Savivaldybės biudžeto lėšos</w:t>
            </w:r>
          </w:p>
        </w:tc>
        <w:tc>
          <w:tcPr>
            <w:tcW w:w="3217" w:type="dxa"/>
          </w:tcPr>
          <w:p w:rsidR="00793E57" w:rsidRPr="003E02D2" w:rsidRDefault="00793E57" w:rsidP="00A300A6">
            <w:r>
              <w:t>325,8</w:t>
            </w:r>
          </w:p>
        </w:tc>
      </w:tr>
      <w:tr w:rsidR="00793E57" w:rsidRPr="003E02D2" w:rsidTr="00A300A6">
        <w:trPr>
          <w:trHeight w:val="274"/>
        </w:trPr>
        <w:tc>
          <w:tcPr>
            <w:tcW w:w="6428" w:type="dxa"/>
          </w:tcPr>
          <w:p w:rsidR="00793E57" w:rsidRPr="00421C21" w:rsidRDefault="00793E57" w:rsidP="00A300A6">
            <w:r>
              <w:t xml:space="preserve">1.2. </w:t>
            </w:r>
            <w:r w:rsidRPr="00421C21">
              <w:t>Valstybės biudžeto specialiosios tikslinės dotacijos lėšos</w:t>
            </w:r>
          </w:p>
        </w:tc>
        <w:tc>
          <w:tcPr>
            <w:tcW w:w="3217" w:type="dxa"/>
          </w:tcPr>
          <w:p w:rsidR="00793E57" w:rsidRPr="003E02D2" w:rsidRDefault="00793E57" w:rsidP="00A300A6">
            <w:r>
              <w:t>850,3</w:t>
            </w:r>
          </w:p>
        </w:tc>
      </w:tr>
      <w:tr w:rsidR="00793E57" w:rsidRPr="003E02D2" w:rsidTr="00A300A6">
        <w:trPr>
          <w:trHeight w:val="274"/>
        </w:trPr>
        <w:tc>
          <w:tcPr>
            <w:tcW w:w="6428" w:type="dxa"/>
          </w:tcPr>
          <w:p w:rsidR="00793E57" w:rsidRPr="00421C21" w:rsidRDefault="00793E57" w:rsidP="00A300A6">
            <w:r>
              <w:t xml:space="preserve">1.3. </w:t>
            </w:r>
            <w:r w:rsidRPr="00421C21">
              <w:t>Biudžetinių įstaigų pajamos</w:t>
            </w:r>
          </w:p>
        </w:tc>
        <w:tc>
          <w:tcPr>
            <w:tcW w:w="3217" w:type="dxa"/>
          </w:tcPr>
          <w:p w:rsidR="00793E57" w:rsidRPr="003E02D2" w:rsidRDefault="00793E57" w:rsidP="00A300A6">
            <w:r>
              <w:t>8,9</w:t>
            </w:r>
          </w:p>
        </w:tc>
      </w:tr>
      <w:tr w:rsidR="00793E57" w:rsidRPr="005D6414" w:rsidTr="00A300A6">
        <w:trPr>
          <w:trHeight w:val="274"/>
        </w:trPr>
        <w:tc>
          <w:tcPr>
            <w:tcW w:w="6428" w:type="dxa"/>
          </w:tcPr>
          <w:p w:rsidR="00793E57" w:rsidRPr="005D6414" w:rsidRDefault="00793E57" w:rsidP="00A300A6">
            <w:pPr>
              <w:rPr>
                <w:b/>
              </w:rPr>
            </w:pPr>
            <w:r w:rsidRPr="005D6414">
              <w:rPr>
                <w:b/>
              </w:rPr>
              <w:t>2. Kiti šaltiniai</w:t>
            </w:r>
          </w:p>
        </w:tc>
        <w:tc>
          <w:tcPr>
            <w:tcW w:w="3217" w:type="dxa"/>
          </w:tcPr>
          <w:p w:rsidR="00793E57" w:rsidRPr="005D6414" w:rsidRDefault="00793E57" w:rsidP="00A300A6">
            <w:pPr>
              <w:rPr>
                <w:b/>
              </w:rPr>
            </w:pPr>
            <w:r>
              <w:rPr>
                <w:b/>
              </w:rPr>
              <w:t>3,3</w:t>
            </w:r>
          </w:p>
        </w:tc>
      </w:tr>
      <w:tr w:rsidR="00793E57" w:rsidRPr="003E02D2" w:rsidTr="00A300A6">
        <w:trPr>
          <w:trHeight w:val="274"/>
        </w:trPr>
        <w:tc>
          <w:tcPr>
            <w:tcW w:w="6428" w:type="dxa"/>
          </w:tcPr>
          <w:p w:rsidR="00793E57" w:rsidRPr="00421C21" w:rsidRDefault="00793E57" w:rsidP="00A300A6">
            <w:r>
              <w:t>2.1. ES paramos lėšos</w:t>
            </w:r>
          </w:p>
        </w:tc>
        <w:tc>
          <w:tcPr>
            <w:tcW w:w="3217" w:type="dxa"/>
          </w:tcPr>
          <w:p w:rsidR="00793E57" w:rsidRPr="003E02D2" w:rsidRDefault="00793E57" w:rsidP="00A300A6">
            <w:r>
              <w:t>-</w:t>
            </w:r>
          </w:p>
        </w:tc>
      </w:tr>
      <w:tr w:rsidR="00793E57" w:rsidRPr="003E02D2" w:rsidTr="00A300A6">
        <w:trPr>
          <w:trHeight w:val="274"/>
        </w:trPr>
        <w:tc>
          <w:tcPr>
            <w:tcW w:w="6428" w:type="dxa"/>
          </w:tcPr>
          <w:p w:rsidR="00793E57" w:rsidRPr="00421C21" w:rsidRDefault="00793E57" w:rsidP="00A300A6">
            <w:r>
              <w:t>2.2. Valstybės biudžeto lėšos</w:t>
            </w:r>
          </w:p>
        </w:tc>
        <w:tc>
          <w:tcPr>
            <w:tcW w:w="3217" w:type="dxa"/>
          </w:tcPr>
          <w:p w:rsidR="00793E57" w:rsidRPr="003E02D2" w:rsidRDefault="00793E57" w:rsidP="00A300A6">
            <w:r>
              <w:t>-</w:t>
            </w:r>
          </w:p>
        </w:tc>
      </w:tr>
      <w:tr w:rsidR="00793E57" w:rsidRPr="003E02D2" w:rsidTr="00A300A6">
        <w:trPr>
          <w:trHeight w:val="274"/>
        </w:trPr>
        <w:tc>
          <w:tcPr>
            <w:tcW w:w="6428" w:type="dxa"/>
          </w:tcPr>
          <w:p w:rsidR="00793E57" w:rsidRPr="00421C21" w:rsidRDefault="00793E57" w:rsidP="00A300A6">
            <w:r>
              <w:t>2.3. Paskolos lėšos</w:t>
            </w:r>
          </w:p>
        </w:tc>
        <w:tc>
          <w:tcPr>
            <w:tcW w:w="3217" w:type="dxa"/>
          </w:tcPr>
          <w:p w:rsidR="00793E57" w:rsidRPr="003E02D2" w:rsidRDefault="00793E57" w:rsidP="00A300A6">
            <w:r>
              <w:t>-</w:t>
            </w:r>
          </w:p>
        </w:tc>
      </w:tr>
      <w:tr w:rsidR="00793E57" w:rsidRPr="003E02D2" w:rsidTr="00A300A6">
        <w:trPr>
          <w:trHeight w:val="289"/>
        </w:trPr>
        <w:tc>
          <w:tcPr>
            <w:tcW w:w="6428" w:type="dxa"/>
          </w:tcPr>
          <w:p w:rsidR="00793E57" w:rsidRPr="000F4D95" w:rsidRDefault="00793E57" w:rsidP="00A300A6">
            <w:pPr>
              <w:spacing w:line="360" w:lineRule="auto"/>
            </w:pPr>
            <w:r>
              <w:t>2.4. Kitų finansavimo šaltinių lėšos (parama ir kt.) 2</w:t>
            </w:r>
            <w:r>
              <w:rPr>
                <w:lang w:val="en-US"/>
              </w:rPr>
              <w:t>% LPF</w:t>
            </w:r>
          </w:p>
        </w:tc>
        <w:tc>
          <w:tcPr>
            <w:tcW w:w="3217" w:type="dxa"/>
          </w:tcPr>
          <w:p w:rsidR="00793E57" w:rsidRPr="003E02D2" w:rsidRDefault="00793E57" w:rsidP="00A300A6">
            <w:r>
              <w:t>3,3</w:t>
            </w:r>
          </w:p>
        </w:tc>
      </w:tr>
    </w:tbl>
    <w:p w:rsidR="00793E57" w:rsidRPr="005C5CBC" w:rsidRDefault="00793E57" w:rsidP="00793E57">
      <w:pPr>
        <w:rPr>
          <w:b/>
        </w:rPr>
      </w:pPr>
    </w:p>
    <w:p w:rsidR="00793E57" w:rsidRDefault="00793E57" w:rsidP="00793E57">
      <w:pPr>
        <w:numPr>
          <w:ilvl w:val="1"/>
          <w:numId w:val="3"/>
        </w:numPr>
        <w:rPr>
          <w:b/>
        </w:rPr>
      </w:pPr>
      <w:r w:rsidRPr="00B643A5">
        <w:rPr>
          <w:b/>
        </w:rPr>
        <w:t>Biudžeto išlaidos:</w:t>
      </w:r>
    </w:p>
    <w:tbl>
      <w:tblPr>
        <w:tblW w:w="10080" w:type="dxa"/>
        <w:tblInd w:w="93" w:type="dxa"/>
        <w:tblLook w:val="00A0" w:firstRow="1" w:lastRow="0" w:firstColumn="1" w:lastColumn="0" w:noHBand="0" w:noVBand="0"/>
      </w:tblPr>
      <w:tblGrid>
        <w:gridCol w:w="296"/>
        <w:gridCol w:w="296"/>
        <w:gridCol w:w="296"/>
        <w:gridCol w:w="296"/>
        <w:gridCol w:w="296"/>
        <w:gridCol w:w="376"/>
        <w:gridCol w:w="1890"/>
        <w:gridCol w:w="1390"/>
        <w:gridCol w:w="1341"/>
        <w:gridCol w:w="1341"/>
        <w:gridCol w:w="1243"/>
        <w:gridCol w:w="1048"/>
      </w:tblGrid>
      <w:tr w:rsidR="00793E57" w:rsidRPr="007E3287" w:rsidTr="00A300A6">
        <w:trPr>
          <w:trHeight w:val="2535"/>
        </w:trPr>
        <w:tc>
          <w:tcPr>
            <w:tcW w:w="1854" w:type="dxa"/>
            <w:gridSpan w:val="6"/>
            <w:tcBorders>
              <w:top w:val="single" w:sz="4" w:space="0" w:color="auto"/>
              <w:left w:val="single" w:sz="4" w:space="0" w:color="auto"/>
              <w:bottom w:val="nil"/>
              <w:right w:val="single" w:sz="4" w:space="0" w:color="000000"/>
            </w:tcBorders>
          </w:tcPr>
          <w:p w:rsidR="00793E57" w:rsidRPr="007E3287" w:rsidRDefault="00793E57" w:rsidP="00A300A6">
            <w:pPr>
              <w:jc w:val="center"/>
              <w:rPr>
                <w:b/>
                <w:bCs/>
                <w:color w:val="000000"/>
                <w:sz w:val="16"/>
                <w:szCs w:val="16"/>
              </w:rPr>
            </w:pPr>
            <w:r w:rsidRPr="007E3287">
              <w:rPr>
                <w:b/>
                <w:bCs/>
                <w:color w:val="000000"/>
                <w:sz w:val="16"/>
                <w:szCs w:val="16"/>
              </w:rPr>
              <w:t>Išlaidų ekonominės klasifikacijos kodas</w:t>
            </w:r>
          </w:p>
        </w:tc>
        <w:tc>
          <w:tcPr>
            <w:tcW w:w="1890" w:type="dxa"/>
            <w:tcBorders>
              <w:top w:val="single" w:sz="4" w:space="0" w:color="auto"/>
              <w:left w:val="nil"/>
              <w:bottom w:val="nil"/>
              <w:right w:val="single" w:sz="4" w:space="0" w:color="auto"/>
            </w:tcBorders>
          </w:tcPr>
          <w:p w:rsidR="00793E57" w:rsidRPr="007E3287" w:rsidRDefault="00793E57" w:rsidP="00A300A6">
            <w:pPr>
              <w:jc w:val="center"/>
              <w:rPr>
                <w:b/>
                <w:bCs/>
                <w:color w:val="000000"/>
                <w:sz w:val="16"/>
                <w:szCs w:val="16"/>
              </w:rPr>
            </w:pPr>
            <w:r w:rsidRPr="007E3287">
              <w:rPr>
                <w:b/>
                <w:bCs/>
                <w:color w:val="000000"/>
                <w:sz w:val="16"/>
                <w:szCs w:val="16"/>
              </w:rPr>
              <w:t>Išlaidų pavadinimas</w:t>
            </w:r>
          </w:p>
        </w:tc>
        <w:tc>
          <w:tcPr>
            <w:tcW w:w="1383" w:type="dxa"/>
            <w:tcBorders>
              <w:top w:val="single" w:sz="8" w:space="0" w:color="auto"/>
              <w:left w:val="single" w:sz="8" w:space="0" w:color="auto"/>
              <w:bottom w:val="single" w:sz="8" w:space="0" w:color="auto"/>
              <w:right w:val="nil"/>
            </w:tcBorders>
          </w:tcPr>
          <w:p w:rsidR="00793E57" w:rsidRPr="007E3287" w:rsidRDefault="00793E57" w:rsidP="00A300A6">
            <w:r w:rsidRPr="007E3287">
              <w:t xml:space="preserve">1.1. </w:t>
            </w:r>
            <w:r w:rsidRPr="00BD3B20">
              <w:rPr>
                <w:sz w:val="22"/>
                <w:szCs w:val="22"/>
              </w:rPr>
              <w:t>Savivaldybės biudžeto lėšos (AL)</w:t>
            </w:r>
          </w:p>
        </w:tc>
        <w:tc>
          <w:tcPr>
            <w:tcW w:w="1334" w:type="dxa"/>
            <w:tcBorders>
              <w:top w:val="single" w:sz="4" w:space="0" w:color="auto"/>
              <w:left w:val="single" w:sz="4" w:space="0" w:color="auto"/>
              <w:bottom w:val="single" w:sz="4" w:space="0" w:color="auto"/>
              <w:right w:val="single" w:sz="4" w:space="0" w:color="auto"/>
            </w:tcBorders>
            <w:vAlign w:val="bottom"/>
          </w:tcPr>
          <w:p w:rsidR="00793E57" w:rsidRPr="00BD3B20" w:rsidRDefault="00793E57" w:rsidP="00A300A6">
            <w:r w:rsidRPr="00BD3B20">
              <w:rPr>
                <w:sz w:val="22"/>
                <w:szCs w:val="22"/>
              </w:rPr>
              <w:t>1.2. Valstybės biudžeto specialiosios tikslinės dotacijos lėšos (MK)</w:t>
            </w:r>
          </w:p>
        </w:tc>
        <w:tc>
          <w:tcPr>
            <w:tcW w:w="1334" w:type="dxa"/>
            <w:tcBorders>
              <w:top w:val="single" w:sz="4" w:space="0" w:color="auto"/>
              <w:left w:val="nil"/>
              <w:bottom w:val="single" w:sz="4" w:space="0" w:color="auto"/>
              <w:right w:val="single" w:sz="4" w:space="0" w:color="auto"/>
            </w:tcBorders>
            <w:vAlign w:val="bottom"/>
          </w:tcPr>
          <w:p w:rsidR="00793E57" w:rsidRPr="00BD3B20" w:rsidRDefault="00793E57" w:rsidP="00A300A6">
            <w:r w:rsidRPr="00BD3B20">
              <w:rPr>
                <w:sz w:val="22"/>
                <w:szCs w:val="22"/>
              </w:rPr>
              <w:t>1.2. Valstybės biudžeto specialiosios tikslinės dotacijos lėšos (</w:t>
            </w:r>
            <w:proofErr w:type="spellStart"/>
            <w:r w:rsidRPr="00BD3B20">
              <w:rPr>
                <w:sz w:val="22"/>
                <w:szCs w:val="22"/>
              </w:rPr>
              <w:t>Dotacinės</w:t>
            </w:r>
            <w:proofErr w:type="spellEnd"/>
            <w:r w:rsidRPr="00BD3B20">
              <w:rPr>
                <w:sz w:val="22"/>
                <w:szCs w:val="22"/>
              </w:rPr>
              <w:t>)</w:t>
            </w:r>
          </w:p>
        </w:tc>
        <w:tc>
          <w:tcPr>
            <w:tcW w:w="1237" w:type="dxa"/>
            <w:tcBorders>
              <w:top w:val="single" w:sz="4" w:space="0" w:color="auto"/>
              <w:left w:val="nil"/>
              <w:bottom w:val="single" w:sz="4" w:space="0" w:color="auto"/>
              <w:right w:val="single" w:sz="4" w:space="0" w:color="auto"/>
            </w:tcBorders>
            <w:vAlign w:val="bottom"/>
          </w:tcPr>
          <w:p w:rsidR="00793E57" w:rsidRPr="00BD3B20" w:rsidRDefault="00793E57" w:rsidP="00A300A6">
            <w:r w:rsidRPr="00BD3B20">
              <w:rPr>
                <w:sz w:val="22"/>
                <w:szCs w:val="22"/>
              </w:rPr>
              <w:t>1.3. Biudžetinių įstaigų pajamos (SP)</w:t>
            </w:r>
          </w:p>
        </w:tc>
        <w:tc>
          <w:tcPr>
            <w:tcW w:w="1048" w:type="dxa"/>
            <w:tcBorders>
              <w:top w:val="single" w:sz="4" w:space="0" w:color="auto"/>
              <w:left w:val="nil"/>
              <w:bottom w:val="single" w:sz="4" w:space="0" w:color="auto"/>
              <w:right w:val="single" w:sz="4" w:space="0" w:color="auto"/>
            </w:tcBorders>
            <w:noWrap/>
            <w:vAlign w:val="bottom"/>
          </w:tcPr>
          <w:p w:rsidR="00793E57" w:rsidRPr="00DF7F66" w:rsidRDefault="00793E57" w:rsidP="00A300A6">
            <w:r w:rsidRPr="00DF7F66">
              <w:rPr>
                <w:sz w:val="22"/>
                <w:szCs w:val="22"/>
              </w:rPr>
              <w:t>Iš viso:</w:t>
            </w:r>
          </w:p>
        </w:tc>
      </w:tr>
      <w:tr w:rsidR="00793E57" w:rsidRPr="007E3287" w:rsidTr="00A300A6">
        <w:trPr>
          <w:trHeight w:val="420"/>
        </w:trPr>
        <w:tc>
          <w:tcPr>
            <w:tcW w:w="295" w:type="dxa"/>
            <w:tcBorders>
              <w:top w:val="single" w:sz="4" w:space="0" w:color="000000"/>
              <w:left w:val="single" w:sz="4" w:space="0" w:color="000000"/>
              <w:bottom w:val="single" w:sz="4" w:space="0" w:color="000000"/>
              <w:right w:val="single" w:sz="4" w:space="0" w:color="000000"/>
            </w:tcBorders>
            <w:vAlign w:val="center"/>
          </w:tcPr>
          <w:p w:rsidR="00793E57" w:rsidRPr="007E3287" w:rsidRDefault="00793E57" w:rsidP="00A300A6">
            <w:pPr>
              <w:jc w:val="center"/>
              <w:rPr>
                <w:b/>
                <w:bCs/>
                <w:color w:val="000000"/>
                <w:sz w:val="16"/>
                <w:szCs w:val="16"/>
              </w:rPr>
            </w:pPr>
            <w:r w:rsidRPr="007E3287">
              <w:rPr>
                <w:b/>
                <w:bCs/>
                <w:color w:val="000000"/>
                <w:sz w:val="16"/>
                <w:szCs w:val="16"/>
              </w:rPr>
              <w:t>2</w:t>
            </w:r>
          </w:p>
        </w:tc>
        <w:tc>
          <w:tcPr>
            <w:tcW w:w="296" w:type="dxa"/>
            <w:tcBorders>
              <w:top w:val="single" w:sz="4" w:space="0" w:color="000000"/>
              <w:left w:val="nil"/>
              <w:bottom w:val="single" w:sz="4" w:space="0" w:color="000000"/>
              <w:right w:val="single" w:sz="4" w:space="0" w:color="000000"/>
            </w:tcBorders>
            <w:vAlign w:val="center"/>
          </w:tcPr>
          <w:p w:rsidR="00793E57" w:rsidRPr="007E3287" w:rsidRDefault="00793E57" w:rsidP="00A300A6">
            <w:pPr>
              <w:jc w:val="center"/>
              <w:rPr>
                <w:b/>
                <w:bCs/>
                <w:color w:val="000000"/>
                <w:sz w:val="16"/>
                <w:szCs w:val="16"/>
              </w:rPr>
            </w:pPr>
            <w:r w:rsidRPr="007E3287">
              <w:rPr>
                <w:b/>
                <w:bCs/>
                <w:color w:val="000000"/>
                <w:sz w:val="16"/>
                <w:szCs w:val="16"/>
              </w:rPr>
              <w:t>1</w:t>
            </w:r>
          </w:p>
        </w:tc>
        <w:tc>
          <w:tcPr>
            <w:tcW w:w="296" w:type="dxa"/>
            <w:tcBorders>
              <w:top w:val="single" w:sz="4" w:space="0" w:color="000000"/>
              <w:left w:val="nil"/>
              <w:bottom w:val="single" w:sz="4" w:space="0" w:color="000000"/>
              <w:right w:val="single" w:sz="4" w:space="0" w:color="000000"/>
            </w:tcBorders>
            <w:vAlign w:val="center"/>
          </w:tcPr>
          <w:p w:rsidR="00793E57" w:rsidRPr="007E3287" w:rsidRDefault="00793E57" w:rsidP="00A300A6">
            <w:pPr>
              <w:jc w:val="center"/>
              <w:rPr>
                <w:b/>
                <w:bCs/>
                <w:color w:val="000000"/>
                <w:sz w:val="16"/>
                <w:szCs w:val="16"/>
              </w:rPr>
            </w:pPr>
            <w:r w:rsidRPr="007E3287">
              <w:rPr>
                <w:b/>
                <w:bCs/>
                <w:color w:val="000000"/>
                <w:sz w:val="16"/>
                <w:szCs w:val="16"/>
              </w:rPr>
              <w:t> </w:t>
            </w:r>
          </w:p>
        </w:tc>
        <w:tc>
          <w:tcPr>
            <w:tcW w:w="296" w:type="dxa"/>
            <w:tcBorders>
              <w:top w:val="single" w:sz="4" w:space="0" w:color="000000"/>
              <w:left w:val="nil"/>
              <w:bottom w:val="single" w:sz="4" w:space="0" w:color="000000"/>
              <w:right w:val="single" w:sz="4" w:space="0" w:color="000000"/>
            </w:tcBorders>
            <w:vAlign w:val="center"/>
          </w:tcPr>
          <w:p w:rsidR="00793E57" w:rsidRPr="007E3287" w:rsidRDefault="00793E57" w:rsidP="00A300A6">
            <w:pPr>
              <w:jc w:val="center"/>
              <w:rPr>
                <w:b/>
                <w:bCs/>
                <w:color w:val="000000"/>
                <w:sz w:val="16"/>
                <w:szCs w:val="16"/>
              </w:rPr>
            </w:pPr>
            <w:r w:rsidRPr="007E3287">
              <w:rPr>
                <w:b/>
                <w:bCs/>
                <w:color w:val="000000"/>
                <w:sz w:val="16"/>
                <w:szCs w:val="16"/>
              </w:rPr>
              <w:t> </w:t>
            </w:r>
          </w:p>
        </w:tc>
        <w:tc>
          <w:tcPr>
            <w:tcW w:w="296" w:type="dxa"/>
            <w:tcBorders>
              <w:top w:val="single" w:sz="4" w:space="0" w:color="000000"/>
              <w:left w:val="nil"/>
              <w:bottom w:val="single" w:sz="4" w:space="0" w:color="000000"/>
              <w:right w:val="single" w:sz="4" w:space="0" w:color="000000"/>
            </w:tcBorders>
            <w:vAlign w:val="center"/>
          </w:tcPr>
          <w:p w:rsidR="00793E57" w:rsidRPr="007E3287" w:rsidRDefault="00793E57" w:rsidP="00A300A6">
            <w:pPr>
              <w:jc w:val="center"/>
              <w:rPr>
                <w:b/>
                <w:bCs/>
                <w:color w:val="000000"/>
                <w:sz w:val="16"/>
                <w:szCs w:val="16"/>
              </w:rPr>
            </w:pPr>
            <w:r w:rsidRPr="007E3287">
              <w:rPr>
                <w:b/>
                <w:bCs/>
                <w:color w:val="000000"/>
                <w:sz w:val="16"/>
                <w:szCs w:val="16"/>
              </w:rPr>
              <w:t> </w:t>
            </w:r>
          </w:p>
        </w:tc>
        <w:tc>
          <w:tcPr>
            <w:tcW w:w="375" w:type="dxa"/>
            <w:tcBorders>
              <w:top w:val="single" w:sz="4" w:space="0" w:color="000000"/>
              <w:left w:val="nil"/>
              <w:bottom w:val="single" w:sz="4" w:space="0" w:color="000000"/>
              <w:right w:val="single" w:sz="4" w:space="0" w:color="000000"/>
            </w:tcBorders>
            <w:vAlign w:val="center"/>
          </w:tcPr>
          <w:p w:rsidR="00793E57" w:rsidRPr="007E3287" w:rsidRDefault="00793E57" w:rsidP="00A300A6">
            <w:pPr>
              <w:jc w:val="center"/>
              <w:rPr>
                <w:b/>
                <w:bCs/>
                <w:color w:val="000000"/>
                <w:sz w:val="16"/>
                <w:szCs w:val="16"/>
              </w:rPr>
            </w:pPr>
            <w:r w:rsidRPr="007E3287">
              <w:rPr>
                <w:b/>
                <w:bCs/>
                <w:color w:val="000000"/>
                <w:sz w:val="16"/>
                <w:szCs w:val="16"/>
              </w:rPr>
              <w:t> </w:t>
            </w:r>
          </w:p>
        </w:tc>
        <w:tc>
          <w:tcPr>
            <w:tcW w:w="1890" w:type="dxa"/>
            <w:tcBorders>
              <w:top w:val="single" w:sz="4" w:space="0" w:color="000000"/>
              <w:left w:val="nil"/>
              <w:bottom w:val="single" w:sz="4" w:space="0" w:color="000000"/>
              <w:right w:val="single" w:sz="4" w:space="0" w:color="000000"/>
            </w:tcBorders>
            <w:vAlign w:val="center"/>
          </w:tcPr>
          <w:p w:rsidR="00793E57" w:rsidRPr="007E3287" w:rsidRDefault="00793E57" w:rsidP="00A300A6">
            <w:pPr>
              <w:rPr>
                <w:b/>
                <w:bCs/>
                <w:color w:val="000000"/>
                <w:sz w:val="16"/>
                <w:szCs w:val="16"/>
              </w:rPr>
            </w:pPr>
            <w:r w:rsidRPr="007E3287">
              <w:rPr>
                <w:b/>
                <w:bCs/>
                <w:color w:val="000000"/>
                <w:sz w:val="16"/>
                <w:szCs w:val="16"/>
              </w:rPr>
              <w:t xml:space="preserve">Darbo užmokestis ir socialinis draudimas </w:t>
            </w:r>
          </w:p>
        </w:tc>
        <w:tc>
          <w:tcPr>
            <w:tcW w:w="1383" w:type="dxa"/>
            <w:tcBorders>
              <w:top w:val="single" w:sz="4" w:space="0" w:color="000000"/>
              <w:left w:val="nil"/>
              <w:bottom w:val="single" w:sz="4" w:space="0" w:color="000000"/>
              <w:right w:val="single" w:sz="4" w:space="0" w:color="000000"/>
            </w:tcBorders>
            <w:vAlign w:val="center"/>
          </w:tcPr>
          <w:p w:rsidR="00793E57" w:rsidRPr="00D32720" w:rsidRDefault="00CA3B4B" w:rsidP="00A300A6">
            <w:pPr>
              <w:jc w:val="right"/>
              <w:rPr>
                <w:b/>
                <w:bCs/>
                <w:color w:val="000000"/>
              </w:rPr>
            </w:pPr>
            <w:r w:rsidRPr="00D32720">
              <w:rPr>
                <w:b/>
                <w:bCs/>
                <w:color w:val="000000"/>
              </w:rPr>
              <w:t>167,0</w:t>
            </w:r>
          </w:p>
        </w:tc>
        <w:tc>
          <w:tcPr>
            <w:tcW w:w="1334" w:type="dxa"/>
            <w:tcBorders>
              <w:top w:val="nil"/>
              <w:left w:val="nil"/>
              <w:bottom w:val="single" w:sz="4" w:space="0" w:color="000000"/>
              <w:right w:val="single" w:sz="4" w:space="0" w:color="000000"/>
            </w:tcBorders>
            <w:vAlign w:val="center"/>
          </w:tcPr>
          <w:p w:rsidR="00793E57" w:rsidRPr="00D32720" w:rsidRDefault="00CA3B4B" w:rsidP="00A300A6">
            <w:pPr>
              <w:jc w:val="right"/>
              <w:rPr>
                <w:b/>
                <w:bCs/>
                <w:color w:val="000000"/>
              </w:rPr>
            </w:pPr>
            <w:r w:rsidRPr="00D32720">
              <w:rPr>
                <w:b/>
                <w:bCs/>
                <w:color w:val="000000"/>
              </w:rPr>
              <w:t>706,5</w:t>
            </w:r>
          </w:p>
        </w:tc>
        <w:tc>
          <w:tcPr>
            <w:tcW w:w="1334" w:type="dxa"/>
            <w:tcBorders>
              <w:top w:val="nil"/>
              <w:left w:val="nil"/>
              <w:bottom w:val="single" w:sz="4" w:space="0" w:color="000000"/>
              <w:right w:val="single" w:sz="4" w:space="0" w:color="000000"/>
            </w:tcBorders>
            <w:vAlign w:val="center"/>
          </w:tcPr>
          <w:p w:rsidR="00793E57" w:rsidRPr="00D32720" w:rsidRDefault="00CA3B4B" w:rsidP="00A300A6">
            <w:pPr>
              <w:jc w:val="right"/>
              <w:rPr>
                <w:b/>
                <w:bCs/>
                <w:color w:val="000000"/>
              </w:rPr>
            </w:pPr>
            <w:r w:rsidRPr="00D32720">
              <w:rPr>
                <w:b/>
                <w:bCs/>
                <w:color w:val="000000"/>
              </w:rPr>
              <w:t>56,0</w:t>
            </w:r>
          </w:p>
        </w:tc>
        <w:tc>
          <w:tcPr>
            <w:tcW w:w="1237" w:type="dxa"/>
            <w:tcBorders>
              <w:top w:val="nil"/>
              <w:left w:val="nil"/>
              <w:bottom w:val="single" w:sz="4" w:space="0" w:color="000000"/>
              <w:right w:val="single" w:sz="4" w:space="0" w:color="000000"/>
            </w:tcBorders>
            <w:vAlign w:val="center"/>
          </w:tcPr>
          <w:p w:rsidR="00793E57" w:rsidRPr="00D32720" w:rsidRDefault="00793E57" w:rsidP="00A300A6">
            <w:pPr>
              <w:jc w:val="right"/>
              <w:rPr>
                <w:b/>
                <w:bCs/>
                <w:color w:val="000000"/>
              </w:rPr>
            </w:pPr>
          </w:p>
        </w:tc>
        <w:tc>
          <w:tcPr>
            <w:tcW w:w="1048" w:type="dxa"/>
            <w:tcBorders>
              <w:top w:val="nil"/>
              <w:left w:val="nil"/>
              <w:bottom w:val="single" w:sz="4" w:space="0" w:color="000000"/>
              <w:right w:val="single" w:sz="4" w:space="0" w:color="000000"/>
            </w:tcBorders>
            <w:vAlign w:val="center"/>
          </w:tcPr>
          <w:p w:rsidR="00793E57" w:rsidRPr="00D32720" w:rsidRDefault="00CA3B4B" w:rsidP="00A300A6">
            <w:pPr>
              <w:jc w:val="right"/>
              <w:rPr>
                <w:b/>
                <w:bCs/>
                <w:color w:val="000000"/>
              </w:rPr>
            </w:pPr>
            <w:r w:rsidRPr="00D32720">
              <w:rPr>
                <w:b/>
                <w:bCs/>
                <w:color w:val="000000"/>
              </w:rPr>
              <w:t>929,5</w:t>
            </w:r>
          </w:p>
        </w:tc>
      </w:tr>
      <w:tr w:rsidR="00793E57" w:rsidRPr="007E3287" w:rsidTr="00A300A6">
        <w:trPr>
          <w:trHeight w:val="255"/>
        </w:trPr>
        <w:tc>
          <w:tcPr>
            <w:tcW w:w="295" w:type="dxa"/>
            <w:tcBorders>
              <w:top w:val="nil"/>
              <w:left w:val="single" w:sz="4" w:space="0" w:color="000000"/>
              <w:bottom w:val="single" w:sz="4" w:space="0" w:color="000000"/>
              <w:right w:val="single" w:sz="4" w:space="0" w:color="000000"/>
            </w:tcBorders>
            <w:vAlign w:val="center"/>
          </w:tcPr>
          <w:p w:rsidR="00793E57" w:rsidRPr="007E3287" w:rsidRDefault="00793E57" w:rsidP="00A300A6">
            <w:pPr>
              <w:jc w:val="center"/>
              <w:rPr>
                <w:b/>
                <w:bCs/>
                <w:color w:val="000000"/>
                <w:sz w:val="16"/>
                <w:szCs w:val="16"/>
              </w:rPr>
            </w:pPr>
            <w:r w:rsidRPr="007E3287">
              <w:rPr>
                <w:b/>
                <w:bCs/>
                <w:color w:val="000000"/>
                <w:sz w:val="16"/>
                <w:szCs w:val="16"/>
              </w:rPr>
              <w:t>2</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b/>
                <w:bCs/>
                <w:color w:val="000000"/>
                <w:sz w:val="16"/>
                <w:szCs w:val="16"/>
              </w:rPr>
            </w:pPr>
            <w:r w:rsidRPr="007E3287">
              <w:rPr>
                <w:b/>
                <w:bCs/>
                <w:color w:val="000000"/>
                <w:sz w:val="16"/>
                <w:szCs w:val="16"/>
              </w:rPr>
              <w:t>2</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b/>
                <w:bCs/>
                <w:color w:val="000000"/>
                <w:sz w:val="16"/>
                <w:szCs w:val="16"/>
              </w:rPr>
            </w:pPr>
            <w:r w:rsidRPr="007E3287">
              <w:rPr>
                <w:b/>
                <w:bCs/>
                <w:color w:val="000000"/>
                <w:sz w:val="16"/>
                <w:szCs w:val="16"/>
              </w:rPr>
              <w:t> </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b/>
                <w:bCs/>
                <w:color w:val="000000"/>
                <w:sz w:val="16"/>
                <w:szCs w:val="16"/>
              </w:rPr>
            </w:pPr>
            <w:r w:rsidRPr="007E3287">
              <w:rPr>
                <w:b/>
                <w:bCs/>
                <w:color w:val="000000"/>
                <w:sz w:val="16"/>
                <w:szCs w:val="16"/>
              </w:rPr>
              <w:t> </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b/>
                <w:bCs/>
                <w:color w:val="000000"/>
                <w:sz w:val="16"/>
                <w:szCs w:val="16"/>
              </w:rPr>
            </w:pPr>
            <w:r w:rsidRPr="007E3287">
              <w:rPr>
                <w:b/>
                <w:bCs/>
                <w:color w:val="000000"/>
                <w:sz w:val="16"/>
                <w:szCs w:val="16"/>
              </w:rPr>
              <w:t> </w:t>
            </w:r>
          </w:p>
        </w:tc>
        <w:tc>
          <w:tcPr>
            <w:tcW w:w="375" w:type="dxa"/>
            <w:tcBorders>
              <w:top w:val="nil"/>
              <w:left w:val="nil"/>
              <w:bottom w:val="single" w:sz="4" w:space="0" w:color="000000"/>
              <w:right w:val="single" w:sz="4" w:space="0" w:color="000000"/>
            </w:tcBorders>
            <w:vAlign w:val="center"/>
          </w:tcPr>
          <w:p w:rsidR="00793E57" w:rsidRPr="007E3287" w:rsidRDefault="00793E57" w:rsidP="00A300A6">
            <w:pPr>
              <w:jc w:val="center"/>
              <w:rPr>
                <w:b/>
                <w:bCs/>
                <w:color w:val="000000"/>
                <w:sz w:val="16"/>
                <w:szCs w:val="16"/>
              </w:rPr>
            </w:pPr>
            <w:r w:rsidRPr="007E3287">
              <w:rPr>
                <w:b/>
                <w:bCs/>
                <w:color w:val="000000"/>
                <w:sz w:val="16"/>
                <w:szCs w:val="16"/>
              </w:rPr>
              <w:t> </w:t>
            </w:r>
          </w:p>
        </w:tc>
        <w:tc>
          <w:tcPr>
            <w:tcW w:w="1890" w:type="dxa"/>
            <w:tcBorders>
              <w:top w:val="nil"/>
              <w:left w:val="nil"/>
              <w:bottom w:val="single" w:sz="4" w:space="0" w:color="000000"/>
              <w:right w:val="single" w:sz="4" w:space="0" w:color="000000"/>
            </w:tcBorders>
            <w:vAlign w:val="center"/>
          </w:tcPr>
          <w:p w:rsidR="00793E57" w:rsidRPr="007E3287" w:rsidRDefault="00793E57" w:rsidP="00A300A6">
            <w:pPr>
              <w:rPr>
                <w:b/>
                <w:bCs/>
                <w:color w:val="000000"/>
                <w:sz w:val="16"/>
                <w:szCs w:val="16"/>
              </w:rPr>
            </w:pPr>
            <w:r w:rsidRPr="007E3287">
              <w:rPr>
                <w:b/>
                <w:bCs/>
                <w:color w:val="000000"/>
                <w:sz w:val="16"/>
                <w:szCs w:val="16"/>
              </w:rPr>
              <w:t>Prekių ir paslaugų naudojimas</w:t>
            </w:r>
          </w:p>
        </w:tc>
        <w:tc>
          <w:tcPr>
            <w:tcW w:w="1383" w:type="dxa"/>
            <w:tcBorders>
              <w:top w:val="nil"/>
              <w:left w:val="nil"/>
              <w:bottom w:val="single" w:sz="4" w:space="0" w:color="000000"/>
              <w:right w:val="single" w:sz="4" w:space="0" w:color="000000"/>
            </w:tcBorders>
            <w:vAlign w:val="center"/>
          </w:tcPr>
          <w:p w:rsidR="00793E57" w:rsidRPr="00D32720" w:rsidRDefault="00CA3B4B" w:rsidP="00A300A6">
            <w:pPr>
              <w:jc w:val="right"/>
              <w:rPr>
                <w:b/>
                <w:bCs/>
                <w:color w:val="000000"/>
              </w:rPr>
            </w:pPr>
            <w:r w:rsidRPr="00D32720">
              <w:rPr>
                <w:b/>
                <w:bCs/>
                <w:color w:val="000000"/>
              </w:rPr>
              <w:t>158,8</w:t>
            </w:r>
          </w:p>
        </w:tc>
        <w:tc>
          <w:tcPr>
            <w:tcW w:w="1334" w:type="dxa"/>
            <w:tcBorders>
              <w:top w:val="nil"/>
              <w:left w:val="nil"/>
              <w:bottom w:val="single" w:sz="4" w:space="0" w:color="000000"/>
              <w:right w:val="single" w:sz="4" w:space="0" w:color="000000"/>
            </w:tcBorders>
            <w:vAlign w:val="center"/>
          </w:tcPr>
          <w:p w:rsidR="00793E57" w:rsidRPr="00D32720" w:rsidRDefault="00CA3B4B" w:rsidP="00A300A6">
            <w:pPr>
              <w:jc w:val="right"/>
              <w:rPr>
                <w:b/>
                <w:bCs/>
                <w:color w:val="000000"/>
              </w:rPr>
            </w:pPr>
            <w:r w:rsidRPr="00D32720">
              <w:rPr>
                <w:b/>
                <w:bCs/>
                <w:color w:val="000000"/>
              </w:rPr>
              <w:t>27,5</w:t>
            </w:r>
          </w:p>
        </w:tc>
        <w:tc>
          <w:tcPr>
            <w:tcW w:w="1334" w:type="dxa"/>
            <w:tcBorders>
              <w:top w:val="nil"/>
              <w:left w:val="nil"/>
              <w:bottom w:val="single" w:sz="4" w:space="0" w:color="000000"/>
              <w:right w:val="single" w:sz="4" w:space="0" w:color="000000"/>
            </w:tcBorders>
            <w:vAlign w:val="center"/>
          </w:tcPr>
          <w:p w:rsidR="00793E57" w:rsidRPr="00D32720" w:rsidRDefault="00CA3B4B" w:rsidP="00A300A6">
            <w:pPr>
              <w:jc w:val="right"/>
              <w:rPr>
                <w:b/>
                <w:bCs/>
                <w:color w:val="000000"/>
              </w:rPr>
            </w:pPr>
            <w:r w:rsidRPr="00D32720">
              <w:rPr>
                <w:b/>
                <w:bCs/>
                <w:color w:val="000000"/>
              </w:rPr>
              <w:t>18,6</w:t>
            </w:r>
          </w:p>
        </w:tc>
        <w:tc>
          <w:tcPr>
            <w:tcW w:w="1237" w:type="dxa"/>
            <w:tcBorders>
              <w:top w:val="nil"/>
              <w:left w:val="nil"/>
              <w:bottom w:val="single" w:sz="4" w:space="0" w:color="000000"/>
              <w:right w:val="single" w:sz="4" w:space="0" w:color="000000"/>
            </w:tcBorders>
            <w:vAlign w:val="center"/>
          </w:tcPr>
          <w:p w:rsidR="00793E57" w:rsidRPr="00D32720" w:rsidRDefault="00CA3B4B" w:rsidP="00A300A6">
            <w:pPr>
              <w:jc w:val="right"/>
              <w:rPr>
                <w:b/>
                <w:bCs/>
                <w:color w:val="000000"/>
              </w:rPr>
            </w:pPr>
            <w:r w:rsidRPr="00D32720">
              <w:rPr>
                <w:b/>
                <w:bCs/>
                <w:color w:val="000000"/>
              </w:rPr>
              <w:t>8,9</w:t>
            </w:r>
          </w:p>
        </w:tc>
        <w:tc>
          <w:tcPr>
            <w:tcW w:w="1048" w:type="dxa"/>
            <w:tcBorders>
              <w:top w:val="nil"/>
              <w:left w:val="nil"/>
              <w:bottom w:val="single" w:sz="4" w:space="0" w:color="000000"/>
              <w:right w:val="single" w:sz="4" w:space="0" w:color="000000"/>
            </w:tcBorders>
            <w:vAlign w:val="center"/>
          </w:tcPr>
          <w:p w:rsidR="00793E57" w:rsidRPr="00D32720" w:rsidRDefault="00CA3B4B" w:rsidP="00A300A6">
            <w:pPr>
              <w:jc w:val="right"/>
              <w:rPr>
                <w:b/>
                <w:bCs/>
                <w:color w:val="000000"/>
              </w:rPr>
            </w:pPr>
            <w:r w:rsidRPr="00D32720">
              <w:rPr>
                <w:b/>
                <w:bCs/>
                <w:color w:val="000000"/>
              </w:rPr>
              <w:t>213,8</w:t>
            </w:r>
          </w:p>
        </w:tc>
      </w:tr>
      <w:tr w:rsidR="00793E57" w:rsidRPr="007E3287" w:rsidTr="00A300A6">
        <w:trPr>
          <w:trHeight w:val="255"/>
        </w:trPr>
        <w:tc>
          <w:tcPr>
            <w:tcW w:w="295" w:type="dxa"/>
            <w:tcBorders>
              <w:top w:val="nil"/>
              <w:left w:val="single" w:sz="4" w:space="0" w:color="000000"/>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2</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2</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375"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1890" w:type="dxa"/>
            <w:tcBorders>
              <w:top w:val="nil"/>
              <w:left w:val="nil"/>
              <w:bottom w:val="single" w:sz="4" w:space="0" w:color="000000"/>
              <w:right w:val="single" w:sz="4" w:space="0" w:color="000000"/>
            </w:tcBorders>
            <w:vAlign w:val="center"/>
          </w:tcPr>
          <w:p w:rsidR="00793E57" w:rsidRPr="007E3287" w:rsidRDefault="00793E57" w:rsidP="00A300A6">
            <w:pPr>
              <w:rPr>
                <w:color w:val="000000"/>
                <w:sz w:val="16"/>
                <w:szCs w:val="16"/>
              </w:rPr>
            </w:pPr>
            <w:r w:rsidRPr="007E3287">
              <w:rPr>
                <w:color w:val="000000"/>
                <w:sz w:val="16"/>
                <w:szCs w:val="16"/>
              </w:rPr>
              <w:t xml:space="preserve">Mityba </w:t>
            </w:r>
          </w:p>
        </w:tc>
        <w:tc>
          <w:tcPr>
            <w:tcW w:w="1383"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334"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334"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237" w:type="dxa"/>
            <w:tcBorders>
              <w:top w:val="nil"/>
              <w:left w:val="nil"/>
              <w:bottom w:val="single" w:sz="4" w:space="0" w:color="000000"/>
              <w:right w:val="single" w:sz="4" w:space="0" w:color="000000"/>
            </w:tcBorders>
            <w:vAlign w:val="center"/>
          </w:tcPr>
          <w:p w:rsidR="00793E57" w:rsidRPr="00D32720" w:rsidRDefault="00CA3B4B" w:rsidP="00A300A6">
            <w:pPr>
              <w:jc w:val="right"/>
              <w:rPr>
                <w:color w:val="000000"/>
              </w:rPr>
            </w:pPr>
            <w:r w:rsidRPr="00D32720">
              <w:rPr>
                <w:color w:val="000000"/>
              </w:rPr>
              <w:t>1,6</w:t>
            </w:r>
          </w:p>
        </w:tc>
        <w:tc>
          <w:tcPr>
            <w:tcW w:w="1048" w:type="dxa"/>
            <w:tcBorders>
              <w:top w:val="nil"/>
              <w:left w:val="nil"/>
              <w:bottom w:val="single" w:sz="4" w:space="0" w:color="000000"/>
              <w:right w:val="single" w:sz="4" w:space="0" w:color="000000"/>
            </w:tcBorders>
            <w:vAlign w:val="center"/>
          </w:tcPr>
          <w:p w:rsidR="00793E57" w:rsidRPr="00D32720" w:rsidRDefault="00CA3B4B" w:rsidP="00A300A6">
            <w:pPr>
              <w:jc w:val="right"/>
              <w:rPr>
                <w:b/>
                <w:bCs/>
                <w:color w:val="000000"/>
              </w:rPr>
            </w:pPr>
            <w:r w:rsidRPr="00D32720">
              <w:rPr>
                <w:b/>
                <w:bCs/>
                <w:color w:val="000000"/>
              </w:rPr>
              <w:t>1,6</w:t>
            </w:r>
          </w:p>
        </w:tc>
      </w:tr>
      <w:tr w:rsidR="00793E57" w:rsidRPr="007E3287" w:rsidTr="00A300A6">
        <w:trPr>
          <w:trHeight w:val="450"/>
        </w:trPr>
        <w:tc>
          <w:tcPr>
            <w:tcW w:w="295" w:type="dxa"/>
            <w:tcBorders>
              <w:top w:val="nil"/>
              <w:left w:val="single" w:sz="4" w:space="0" w:color="000000"/>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2</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2</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375"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2</w:t>
            </w:r>
          </w:p>
        </w:tc>
        <w:tc>
          <w:tcPr>
            <w:tcW w:w="1890" w:type="dxa"/>
            <w:tcBorders>
              <w:top w:val="nil"/>
              <w:left w:val="nil"/>
              <w:bottom w:val="single" w:sz="4" w:space="0" w:color="000000"/>
              <w:right w:val="single" w:sz="4" w:space="0" w:color="000000"/>
            </w:tcBorders>
            <w:vAlign w:val="center"/>
          </w:tcPr>
          <w:p w:rsidR="00793E57" w:rsidRPr="007E3287" w:rsidRDefault="00793E57" w:rsidP="00A300A6">
            <w:pPr>
              <w:rPr>
                <w:color w:val="000000"/>
                <w:sz w:val="16"/>
                <w:szCs w:val="16"/>
              </w:rPr>
            </w:pPr>
            <w:r w:rsidRPr="007E3287">
              <w:rPr>
                <w:color w:val="000000"/>
                <w:sz w:val="16"/>
                <w:szCs w:val="16"/>
              </w:rPr>
              <w:t xml:space="preserve">Medikamentai (ir darbuotojų sveikatos tikrinimas) </w:t>
            </w:r>
          </w:p>
        </w:tc>
        <w:tc>
          <w:tcPr>
            <w:tcW w:w="1383" w:type="dxa"/>
            <w:tcBorders>
              <w:top w:val="nil"/>
              <w:left w:val="nil"/>
              <w:bottom w:val="single" w:sz="4" w:space="0" w:color="000000"/>
              <w:right w:val="single" w:sz="4" w:space="0" w:color="000000"/>
            </w:tcBorders>
            <w:vAlign w:val="center"/>
          </w:tcPr>
          <w:p w:rsidR="00793E57" w:rsidRPr="00D32720" w:rsidRDefault="00CA3B4B" w:rsidP="00A300A6">
            <w:pPr>
              <w:jc w:val="right"/>
              <w:rPr>
                <w:color w:val="000000"/>
              </w:rPr>
            </w:pPr>
            <w:r w:rsidRPr="00D32720">
              <w:rPr>
                <w:color w:val="000000"/>
              </w:rPr>
              <w:t>0,1</w:t>
            </w:r>
          </w:p>
        </w:tc>
        <w:tc>
          <w:tcPr>
            <w:tcW w:w="1334"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334"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237"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048" w:type="dxa"/>
            <w:tcBorders>
              <w:top w:val="nil"/>
              <w:left w:val="nil"/>
              <w:bottom w:val="single" w:sz="4" w:space="0" w:color="000000"/>
              <w:right w:val="single" w:sz="4" w:space="0" w:color="000000"/>
            </w:tcBorders>
            <w:vAlign w:val="center"/>
          </w:tcPr>
          <w:p w:rsidR="00793E57" w:rsidRPr="00D32720" w:rsidRDefault="00CA3B4B" w:rsidP="00A300A6">
            <w:pPr>
              <w:jc w:val="right"/>
              <w:rPr>
                <w:b/>
                <w:bCs/>
                <w:color w:val="000000"/>
              </w:rPr>
            </w:pPr>
            <w:r w:rsidRPr="00D32720">
              <w:rPr>
                <w:b/>
                <w:bCs/>
                <w:color w:val="000000"/>
              </w:rPr>
              <w:t>0,1</w:t>
            </w:r>
          </w:p>
        </w:tc>
      </w:tr>
      <w:tr w:rsidR="00793E57" w:rsidRPr="007E3287" w:rsidTr="00A300A6">
        <w:trPr>
          <w:trHeight w:val="255"/>
        </w:trPr>
        <w:tc>
          <w:tcPr>
            <w:tcW w:w="295" w:type="dxa"/>
            <w:tcBorders>
              <w:top w:val="nil"/>
              <w:left w:val="single" w:sz="4" w:space="0" w:color="000000"/>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2</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2</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375"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5</w:t>
            </w:r>
          </w:p>
        </w:tc>
        <w:tc>
          <w:tcPr>
            <w:tcW w:w="1890" w:type="dxa"/>
            <w:tcBorders>
              <w:top w:val="nil"/>
              <w:left w:val="nil"/>
              <w:bottom w:val="single" w:sz="4" w:space="0" w:color="000000"/>
              <w:right w:val="single" w:sz="4" w:space="0" w:color="000000"/>
            </w:tcBorders>
            <w:vAlign w:val="center"/>
          </w:tcPr>
          <w:p w:rsidR="00793E57" w:rsidRPr="007E3287" w:rsidRDefault="00793E57" w:rsidP="00A300A6">
            <w:pPr>
              <w:rPr>
                <w:color w:val="000000"/>
                <w:sz w:val="16"/>
                <w:szCs w:val="16"/>
              </w:rPr>
            </w:pPr>
            <w:r w:rsidRPr="007E3287">
              <w:rPr>
                <w:color w:val="000000"/>
                <w:sz w:val="16"/>
                <w:szCs w:val="16"/>
              </w:rPr>
              <w:t>Ryšių paslaugos</w:t>
            </w:r>
          </w:p>
        </w:tc>
        <w:tc>
          <w:tcPr>
            <w:tcW w:w="1383" w:type="dxa"/>
            <w:tcBorders>
              <w:top w:val="nil"/>
              <w:left w:val="nil"/>
              <w:bottom w:val="single" w:sz="4" w:space="0" w:color="000000"/>
              <w:right w:val="single" w:sz="4" w:space="0" w:color="000000"/>
            </w:tcBorders>
            <w:vAlign w:val="center"/>
          </w:tcPr>
          <w:p w:rsidR="00793E57" w:rsidRPr="00D32720" w:rsidRDefault="00CA3B4B" w:rsidP="00A300A6">
            <w:pPr>
              <w:jc w:val="right"/>
              <w:rPr>
                <w:color w:val="000000"/>
              </w:rPr>
            </w:pPr>
            <w:r w:rsidRPr="00D32720">
              <w:rPr>
                <w:color w:val="000000"/>
              </w:rPr>
              <w:t>0,8</w:t>
            </w:r>
          </w:p>
        </w:tc>
        <w:tc>
          <w:tcPr>
            <w:tcW w:w="1334" w:type="dxa"/>
            <w:tcBorders>
              <w:top w:val="nil"/>
              <w:left w:val="nil"/>
              <w:bottom w:val="single" w:sz="4" w:space="0" w:color="000000"/>
              <w:right w:val="single" w:sz="4" w:space="0" w:color="000000"/>
            </w:tcBorders>
            <w:vAlign w:val="center"/>
          </w:tcPr>
          <w:p w:rsidR="00793E57" w:rsidRPr="00D32720" w:rsidRDefault="00CA3B4B" w:rsidP="00A300A6">
            <w:pPr>
              <w:jc w:val="right"/>
              <w:rPr>
                <w:color w:val="000000"/>
              </w:rPr>
            </w:pPr>
            <w:r w:rsidRPr="00D32720">
              <w:rPr>
                <w:color w:val="000000"/>
              </w:rPr>
              <w:t>0,5</w:t>
            </w:r>
          </w:p>
        </w:tc>
        <w:tc>
          <w:tcPr>
            <w:tcW w:w="1334"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237"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048" w:type="dxa"/>
            <w:tcBorders>
              <w:top w:val="nil"/>
              <w:left w:val="nil"/>
              <w:bottom w:val="single" w:sz="4" w:space="0" w:color="000000"/>
              <w:right w:val="single" w:sz="4" w:space="0" w:color="000000"/>
            </w:tcBorders>
            <w:vAlign w:val="center"/>
          </w:tcPr>
          <w:p w:rsidR="00793E57" w:rsidRPr="00D32720" w:rsidRDefault="00CA3B4B" w:rsidP="00A300A6">
            <w:pPr>
              <w:jc w:val="right"/>
              <w:rPr>
                <w:b/>
                <w:bCs/>
                <w:color w:val="000000"/>
              </w:rPr>
            </w:pPr>
            <w:r w:rsidRPr="00D32720">
              <w:rPr>
                <w:b/>
                <w:bCs/>
                <w:color w:val="000000"/>
              </w:rPr>
              <w:t>1,3</w:t>
            </w:r>
          </w:p>
        </w:tc>
      </w:tr>
      <w:tr w:rsidR="00793E57" w:rsidRPr="007E3287" w:rsidTr="00A300A6">
        <w:trPr>
          <w:trHeight w:val="255"/>
        </w:trPr>
        <w:tc>
          <w:tcPr>
            <w:tcW w:w="295" w:type="dxa"/>
            <w:tcBorders>
              <w:top w:val="nil"/>
              <w:left w:val="single" w:sz="4" w:space="0" w:color="000000"/>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2</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2</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375"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6</w:t>
            </w:r>
          </w:p>
        </w:tc>
        <w:tc>
          <w:tcPr>
            <w:tcW w:w="1890" w:type="dxa"/>
            <w:tcBorders>
              <w:top w:val="nil"/>
              <w:left w:val="nil"/>
              <w:bottom w:val="single" w:sz="4" w:space="0" w:color="000000"/>
              <w:right w:val="single" w:sz="4" w:space="0" w:color="000000"/>
            </w:tcBorders>
            <w:vAlign w:val="center"/>
          </w:tcPr>
          <w:p w:rsidR="00793E57" w:rsidRPr="007E3287" w:rsidRDefault="00793E57" w:rsidP="00A300A6">
            <w:pPr>
              <w:rPr>
                <w:color w:val="000000"/>
                <w:sz w:val="16"/>
                <w:szCs w:val="16"/>
              </w:rPr>
            </w:pPr>
            <w:r w:rsidRPr="007E3287">
              <w:rPr>
                <w:color w:val="000000"/>
                <w:sz w:val="16"/>
                <w:szCs w:val="16"/>
              </w:rPr>
              <w:t>Transporto išlaikymas</w:t>
            </w:r>
          </w:p>
        </w:tc>
        <w:tc>
          <w:tcPr>
            <w:tcW w:w="1383"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334"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334"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237"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048" w:type="dxa"/>
            <w:tcBorders>
              <w:top w:val="nil"/>
              <w:left w:val="nil"/>
              <w:bottom w:val="single" w:sz="4" w:space="0" w:color="000000"/>
              <w:right w:val="single" w:sz="4" w:space="0" w:color="000000"/>
            </w:tcBorders>
            <w:vAlign w:val="center"/>
          </w:tcPr>
          <w:p w:rsidR="00793E57" w:rsidRPr="00D32720" w:rsidRDefault="00CA3B4B" w:rsidP="00A300A6">
            <w:pPr>
              <w:jc w:val="right"/>
              <w:rPr>
                <w:b/>
                <w:bCs/>
                <w:color w:val="000000"/>
              </w:rPr>
            </w:pPr>
            <w:r w:rsidRPr="00D32720">
              <w:rPr>
                <w:b/>
                <w:bCs/>
                <w:color w:val="000000"/>
              </w:rPr>
              <w:t>0,0</w:t>
            </w:r>
          </w:p>
        </w:tc>
      </w:tr>
      <w:tr w:rsidR="00793E57" w:rsidRPr="007E3287" w:rsidTr="00A300A6">
        <w:trPr>
          <w:trHeight w:val="255"/>
        </w:trPr>
        <w:tc>
          <w:tcPr>
            <w:tcW w:w="295" w:type="dxa"/>
            <w:tcBorders>
              <w:top w:val="nil"/>
              <w:left w:val="single" w:sz="4" w:space="0" w:color="000000"/>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2</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2</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375"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7</w:t>
            </w:r>
          </w:p>
        </w:tc>
        <w:tc>
          <w:tcPr>
            <w:tcW w:w="1890" w:type="dxa"/>
            <w:tcBorders>
              <w:top w:val="nil"/>
              <w:left w:val="nil"/>
              <w:bottom w:val="single" w:sz="4" w:space="0" w:color="000000"/>
              <w:right w:val="single" w:sz="4" w:space="0" w:color="000000"/>
            </w:tcBorders>
            <w:vAlign w:val="center"/>
          </w:tcPr>
          <w:p w:rsidR="00793E57" w:rsidRPr="007E3287" w:rsidRDefault="00793E57" w:rsidP="00A300A6">
            <w:pPr>
              <w:rPr>
                <w:color w:val="000000"/>
                <w:sz w:val="16"/>
                <w:szCs w:val="16"/>
              </w:rPr>
            </w:pPr>
            <w:r w:rsidRPr="007E3287">
              <w:rPr>
                <w:color w:val="000000"/>
                <w:sz w:val="16"/>
                <w:szCs w:val="16"/>
              </w:rPr>
              <w:t xml:space="preserve">Apranga ir patalynė </w:t>
            </w:r>
          </w:p>
        </w:tc>
        <w:tc>
          <w:tcPr>
            <w:tcW w:w="1383"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334"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334"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237"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048" w:type="dxa"/>
            <w:tcBorders>
              <w:top w:val="nil"/>
              <w:left w:val="nil"/>
              <w:bottom w:val="single" w:sz="4" w:space="0" w:color="000000"/>
              <w:right w:val="single" w:sz="4" w:space="0" w:color="000000"/>
            </w:tcBorders>
            <w:vAlign w:val="center"/>
          </w:tcPr>
          <w:p w:rsidR="00793E57" w:rsidRPr="00D32720" w:rsidRDefault="00CA3B4B" w:rsidP="00A300A6">
            <w:pPr>
              <w:jc w:val="right"/>
              <w:rPr>
                <w:b/>
                <w:bCs/>
                <w:color w:val="000000"/>
              </w:rPr>
            </w:pPr>
            <w:r w:rsidRPr="00D32720">
              <w:rPr>
                <w:b/>
                <w:bCs/>
                <w:color w:val="000000"/>
              </w:rPr>
              <w:t>0,0</w:t>
            </w:r>
          </w:p>
        </w:tc>
      </w:tr>
      <w:tr w:rsidR="00793E57" w:rsidRPr="007E3287" w:rsidTr="00A300A6">
        <w:trPr>
          <w:trHeight w:val="255"/>
        </w:trPr>
        <w:tc>
          <w:tcPr>
            <w:tcW w:w="295" w:type="dxa"/>
            <w:tcBorders>
              <w:top w:val="nil"/>
              <w:left w:val="single" w:sz="4" w:space="0" w:color="000000"/>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2</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2</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375"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8</w:t>
            </w:r>
          </w:p>
        </w:tc>
        <w:tc>
          <w:tcPr>
            <w:tcW w:w="1890" w:type="dxa"/>
            <w:tcBorders>
              <w:top w:val="nil"/>
              <w:left w:val="nil"/>
              <w:bottom w:val="single" w:sz="4" w:space="0" w:color="000000"/>
              <w:right w:val="single" w:sz="4" w:space="0" w:color="000000"/>
            </w:tcBorders>
            <w:vAlign w:val="center"/>
          </w:tcPr>
          <w:p w:rsidR="00793E57" w:rsidRPr="007E3287" w:rsidRDefault="00793E57" w:rsidP="00A300A6">
            <w:pPr>
              <w:rPr>
                <w:color w:val="000000"/>
                <w:sz w:val="16"/>
                <w:szCs w:val="16"/>
              </w:rPr>
            </w:pPr>
            <w:r w:rsidRPr="007E3287">
              <w:rPr>
                <w:color w:val="000000"/>
                <w:sz w:val="16"/>
                <w:szCs w:val="16"/>
              </w:rPr>
              <w:t xml:space="preserve">Spaudiniai </w:t>
            </w:r>
          </w:p>
        </w:tc>
        <w:tc>
          <w:tcPr>
            <w:tcW w:w="1383" w:type="dxa"/>
            <w:tcBorders>
              <w:top w:val="nil"/>
              <w:left w:val="nil"/>
              <w:bottom w:val="single" w:sz="4" w:space="0" w:color="000000"/>
              <w:right w:val="single" w:sz="4" w:space="0" w:color="000000"/>
            </w:tcBorders>
            <w:vAlign w:val="center"/>
          </w:tcPr>
          <w:p w:rsidR="00793E57" w:rsidRPr="00D32720" w:rsidRDefault="00CA3B4B" w:rsidP="00A300A6">
            <w:pPr>
              <w:jc w:val="right"/>
              <w:rPr>
                <w:color w:val="000000"/>
              </w:rPr>
            </w:pPr>
            <w:r w:rsidRPr="00D32720">
              <w:rPr>
                <w:color w:val="000000"/>
              </w:rPr>
              <w:t>0,5</w:t>
            </w:r>
          </w:p>
        </w:tc>
        <w:tc>
          <w:tcPr>
            <w:tcW w:w="1334" w:type="dxa"/>
            <w:tcBorders>
              <w:top w:val="nil"/>
              <w:left w:val="nil"/>
              <w:bottom w:val="single" w:sz="4" w:space="0" w:color="000000"/>
              <w:right w:val="single" w:sz="4" w:space="0" w:color="000000"/>
            </w:tcBorders>
            <w:vAlign w:val="center"/>
          </w:tcPr>
          <w:p w:rsidR="00793E57" w:rsidRPr="00D32720" w:rsidRDefault="00CA3B4B" w:rsidP="00A300A6">
            <w:pPr>
              <w:jc w:val="right"/>
              <w:rPr>
                <w:color w:val="000000"/>
              </w:rPr>
            </w:pPr>
            <w:r w:rsidRPr="00D32720">
              <w:rPr>
                <w:color w:val="000000"/>
              </w:rPr>
              <w:t>6,1</w:t>
            </w:r>
          </w:p>
        </w:tc>
        <w:tc>
          <w:tcPr>
            <w:tcW w:w="1334"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237"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048" w:type="dxa"/>
            <w:tcBorders>
              <w:top w:val="nil"/>
              <w:left w:val="nil"/>
              <w:bottom w:val="single" w:sz="4" w:space="0" w:color="000000"/>
              <w:right w:val="single" w:sz="4" w:space="0" w:color="000000"/>
            </w:tcBorders>
            <w:vAlign w:val="center"/>
          </w:tcPr>
          <w:p w:rsidR="00793E57" w:rsidRPr="00D32720" w:rsidRDefault="00CA3B4B" w:rsidP="00A300A6">
            <w:pPr>
              <w:jc w:val="right"/>
              <w:rPr>
                <w:b/>
                <w:bCs/>
                <w:color w:val="000000"/>
              </w:rPr>
            </w:pPr>
            <w:r w:rsidRPr="00D32720">
              <w:rPr>
                <w:b/>
                <w:bCs/>
                <w:color w:val="000000"/>
              </w:rPr>
              <w:t>6,6</w:t>
            </w:r>
          </w:p>
        </w:tc>
      </w:tr>
      <w:tr w:rsidR="00793E57" w:rsidRPr="007E3287" w:rsidTr="00A300A6">
        <w:trPr>
          <w:trHeight w:val="255"/>
        </w:trPr>
        <w:tc>
          <w:tcPr>
            <w:tcW w:w="295" w:type="dxa"/>
            <w:tcBorders>
              <w:top w:val="nil"/>
              <w:left w:val="single" w:sz="4" w:space="0" w:color="000000"/>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2</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2</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375"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10</w:t>
            </w:r>
          </w:p>
        </w:tc>
        <w:tc>
          <w:tcPr>
            <w:tcW w:w="1890" w:type="dxa"/>
            <w:tcBorders>
              <w:top w:val="nil"/>
              <w:left w:val="nil"/>
              <w:bottom w:val="single" w:sz="4" w:space="0" w:color="000000"/>
              <w:right w:val="single" w:sz="4" w:space="0" w:color="000000"/>
            </w:tcBorders>
            <w:vAlign w:val="center"/>
          </w:tcPr>
          <w:p w:rsidR="00793E57" w:rsidRPr="007E3287" w:rsidRDefault="00793E57" w:rsidP="00A300A6">
            <w:pPr>
              <w:rPr>
                <w:color w:val="000000"/>
                <w:sz w:val="16"/>
                <w:szCs w:val="16"/>
              </w:rPr>
            </w:pPr>
            <w:r w:rsidRPr="007E3287">
              <w:rPr>
                <w:color w:val="000000"/>
                <w:sz w:val="16"/>
                <w:szCs w:val="16"/>
              </w:rPr>
              <w:t>Kitos prekės</w:t>
            </w:r>
          </w:p>
        </w:tc>
        <w:tc>
          <w:tcPr>
            <w:tcW w:w="1383" w:type="dxa"/>
            <w:tcBorders>
              <w:top w:val="nil"/>
              <w:left w:val="nil"/>
              <w:bottom w:val="single" w:sz="4" w:space="0" w:color="000000"/>
              <w:right w:val="single" w:sz="4" w:space="0" w:color="000000"/>
            </w:tcBorders>
            <w:vAlign w:val="center"/>
          </w:tcPr>
          <w:p w:rsidR="00793E57" w:rsidRPr="00D32720" w:rsidRDefault="00CA3B4B" w:rsidP="00A300A6">
            <w:pPr>
              <w:jc w:val="right"/>
              <w:rPr>
                <w:color w:val="000000"/>
              </w:rPr>
            </w:pPr>
            <w:r w:rsidRPr="00D32720">
              <w:rPr>
                <w:color w:val="000000"/>
              </w:rPr>
              <w:t>21,3</w:t>
            </w:r>
          </w:p>
        </w:tc>
        <w:tc>
          <w:tcPr>
            <w:tcW w:w="1334" w:type="dxa"/>
            <w:tcBorders>
              <w:top w:val="nil"/>
              <w:left w:val="nil"/>
              <w:bottom w:val="single" w:sz="4" w:space="0" w:color="000000"/>
              <w:right w:val="single" w:sz="4" w:space="0" w:color="000000"/>
            </w:tcBorders>
            <w:vAlign w:val="center"/>
          </w:tcPr>
          <w:p w:rsidR="00793E57" w:rsidRPr="00D32720" w:rsidRDefault="00CA3B4B" w:rsidP="00A300A6">
            <w:pPr>
              <w:jc w:val="right"/>
              <w:rPr>
                <w:color w:val="000000"/>
              </w:rPr>
            </w:pPr>
            <w:r w:rsidRPr="00D32720">
              <w:rPr>
                <w:color w:val="000000"/>
              </w:rPr>
              <w:t>11,0</w:t>
            </w:r>
          </w:p>
        </w:tc>
        <w:tc>
          <w:tcPr>
            <w:tcW w:w="1334" w:type="dxa"/>
            <w:tcBorders>
              <w:top w:val="nil"/>
              <w:left w:val="nil"/>
              <w:bottom w:val="single" w:sz="4" w:space="0" w:color="000000"/>
              <w:right w:val="single" w:sz="4" w:space="0" w:color="000000"/>
            </w:tcBorders>
            <w:vAlign w:val="center"/>
          </w:tcPr>
          <w:p w:rsidR="00793E57" w:rsidRPr="00D32720" w:rsidRDefault="00CA3B4B" w:rsidP="00A300A6">
            <w:pPr>
              <w:jc w:val="right"/>
              <w:rPr>
                <w:color w:val="000000"/>
              </w:rPr>
            </w:pPr>
            <w:r w:rsidRPr="00D32720">
              <w:rPr>
                <w:color w:val="000000"/>
              </w:rPr>
              <w:t>13,9</w:t>
            </w:r>
          </w:p>
        </w:tc>
        <w:tc>
          <w:tcPr>
            <w:tcW w:w="1237" w:type="dxa"/>
            <w:tcBorders>
              <w:top w:val="nil"/>
              <w:left w:val="nil"/>
              <w:bottom w:val="single" w:sz="4" w:space="0" w:color="000000"/>
              <w:right w:val="single" w:sz="4" w:space="0" w:color="000000"/>
            </w:tcBorders>
            <w:vAlign w:val="center"/>
          </w:tcPr>
          <w:p w:rsidR="00793E57" w:rsidRPr="00D32720" w:rsidRDefault="00CA3B4B" w:rsidP="00A300A6">
            <w:pPr>
              <w:jc w:val="right"/>
              <w:rPr>
                <w:color w:val="000000"/>
              </w:rPr>
            </w:pPr>
            <w:r w:rsidRPr="00D32720">
              <w:rPr>
                <w:color w:val="000000"/>
              </w:rPr>
              <w:t>2,8</w:t>
            </w:r>
          </w:p>
        </w:tc>
        <w:tc>
          <w:tcPr>
            <w:tcW w:w="1048" w:type="dxa"/>
            <w:tcBorders>
              <w:top w:val="nil"/>
              <w:left w:val="nil"/>
              <w:bottom w:val="single" w:sz="4" w:space="0" w:color="000000"/>
              <w:right w:val="single" w:sz="4" w:space="0" w:color="000000"/>
            </w:tcBorders>
            <w:vAlign w:val="center"/>
          </w:tcPr>
          <w:p w:rsidR="00793E57" w:rsidRPr="00D32720" w:rsidRDefault="00CA3B4B" w:rsidP="00A300A6">
            <w:pPr>
              <w:jc w:val="right"/>
              <w:rPr>
                <w:b/>
                <w:bCs/>
                <w:color w:val="000000"/>
              </w:rPr>
            </w:pPr>
            <w:r w:rsidRPr="00D32720">
              <w:rPr>
                <w:b/>
                <w:bCs/>
                <w:color w:val="000000"/>
              </w:rPr>
              <w:t>49,0</w:t>
            </w:r>
          </w:p>
        </w:tc>
      </w:tr>
      <w:tr w:rsidR="00793E57" w:rsidRPr="007E3287" w:rsidTr="00A300A6">
        <w:trPr>
          <w:trHeight w:val="675"/>
        </w:trPr>
        <w:tc>
          <w:tcPr>
            <w:tcW w:w="295" w:type="dxa"/>
            <w:tcBorders>
              <w:top w:val="nil"/>
              <w:left w:val="single" w:sz="4" w:space="0" w:color="000000"/>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lastRenderedPageBreak/>
              <w:t>2</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2</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375"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11</w:t>
            </w:r>
          </w:p>
        </w:tc>
        <w:tc>
          <w:tcPr>
            <w:tcW w:w="1890" w:type="dxa"/>
            <w:tcBorders>
              <w:top w:val="nil"/>
              <w:left w:val="nil"/>
              <w:bottom w:val="single" w:sz="4" w:space="0" w:color="000000"/>
              <w:right w:val="single" w:sz="4" w:space="0" w:color="000000"/>
            </w:tcBorders>
            <w:vAlign w:val="center"/>
          </w:tcPr>
          <w:p w:rsidR="00793E57" w:rsidRPr="007E3287" w:rsidRDefault="00793E57" w:rsidP="00A300A6">
            <w:pPr>
              <w:rPr>
                <w:color w:val="000000"/>
                <w:sz w:val="16"/>
                <w:szCs w:val="16"/>
              </w:rPr>
            </w:pPr>
            <w:r w:rsidRPr="007E3287">
              <w:rPr>
                <w:color w:val="000000"/>
                <w:sz w:val="16"/>
                <w:szCs w:val="16"/>
              </w:rPr>
              <w:t>Komandiruotės (transporto, apgyvendinimo, ryšio ir kitos komandiruotės išlaidos)</w:t>
            </w:r>
          </w:p>
        </w:tc>
        <w:tc>
          <w:tcPr>
            <w:tcW w:w="1383" w:type="dxa"/>
            <w:tcBorders>
              <w:top w:val="nil"/>
              <w:left w:val="nil"/>
              <w:bottom w:val="single" w:sz="4" w:space="0" w:color="000000"/>
              <w:right w:val="single" w:sz="4" w:space="0" w:color="000000"/>
            </w:tcBorders>
            <w:vAlign w:val="center"/>
          </w:tcPr>
          <w:p w:rsidR="00793E57" w:rsidRPr="00D32720" w:rsidRDefault="00CA3B4B" w:rsidP="00A300A6">
            <w:pPr>
              <w:jc w:val="right"/>
              <w:rPr>
                <w:color w:val="000000"/>
              </w:rPr>
            </w:pPr>
            <w:r w:rsidRPr="00D32720">
              <w:rPr>
                <w:color w:val="000000"/>
              </w:rPr>
              <w:t>0,3</w:t>
            </w:r>
          </w:p>
        </w:tc>
        <w:tc>
          <w:tcPr>
            <w:tcW w:w="1334"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334"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237"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048" w:type="dxa"/>
            <w:tcBorders>
              <w:top w:val="nil"/>
              <w:left w:val="nil"/>
              <w:bottom w:val="single" w:sz="4" w:space="0" w:color="000000"/>
              <w:right w:val="single" w:sz="4" w:space="0" w:color="000000"/>
            </w:tcBorders>
            <w:vAlign w:val="center"/>
          </w:tcPr>
          <w:p w:rsidR="00793E57" w:rsidRPr="00D32720" w:rsidRDefault="00CA3B4B" w:rsidP="00A300A6">
            <w:pPr>
              <w:jc w:val="right"/>
              <w:rPr>
                <w:b/>
                <w:bCs/>
                <w:color w:val="000000"/>
              </w:rPr>
            </w:pPr>
            <w:r w:rsidRPr="00D32720">
              <w:rPr>
                <w:b/>
                <w:bCs/>
                <w:color w:val="000000"/>
              </w:rPr>
              <w:t>0,3</w:t>
            </w:r>
          </w:p>
        </w:tc>
      </w:tr>
      <w:tr w:rsidR="00793E57" w:rsidRPr="007E3287" w:rsidTr="00A300A6">
        <w:trPr>
          <w:trHeight w:val="450"/>
        </w:trPr>
        <w:tc>
          <w:tcPr>
            <w:tcW w:w="295" w:type="dxa"/>
            <w:tcBorders>
              <w:top w:val="nil"/>
              <w:left w:val="single" w:sz="4" w:space="0" w:color="000000"/>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2</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2</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375"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15</w:t>
            </w:r>
          </w:p>
        </w:tc>
        <w:tc>
          <w:tcPr>
            <w:tcW w:w="1890" w:type="dxa"/>
            <w:tcBorders>
              <w:top w:val="nil"/>
              <w:left w:val="nil"/>
              <w:bottom w:val="single" w:sz="4" w:space="0" w:color="000000"/>
              <w:right w:val="single" w:sz="4" w:space="0" w:color="000000"/>
            </w:tcBorders>
            <w:vAlign w:val="center"/>
          </w:tcPr>
          <w:p w:rsidR="00793E57" w:rsidRPr="007E3287" w:rsidRDefault="00793E57" w:rsidP="00A300A6">
            <w:pPr>
              <w:rPr>
                <w:color w:val="000000"/>
                <w:sz w:val="16"/>
                <w:szCs w:val="16"/>
              </w:rPr>
            </w:pPr>
            <w:r w:rsidRPr="007E3287">
              <w:rPr>
                <w:color w:val="000000"/>
                <w:sz w:val="16"/>
                <w:szCs w:val="16"/>
              </w:rPr>
              <w:t xml:space="preserve">Ilgalaikio materialiojo turto einamasis remontas </w:t>
            </w:r>
          </w:p>
        </w:tc>
        <w:tc>
          <w:tcPr>
            <w:tcW w:w="1383" w:type="dxa"/>
            <w:tcBorders>
              <w:top w:val="nil"/>
              <w:left w:val="nil"/>
              <w:bottom w:val="single" w:sz="4" w:space="0" w:color="000000"/>
              <w:right w:val="single" w:sz="4" w:space="0" w:color="000000"/>
            </w:tcBorders>
            <w:vAlign w:val="center"/>
          </w:tcPr>
          <w:p w:rsidR="00793E57" w:rsidRPr="00D32720" w:rsidRDefault="00CA3B4B" w:rsidP="00A300A6">
            <w:pPr>
              <w:jc w:val="right"/>
              <w:rPr>
                <w:color w:val="000000"/>
              </w:rPr>
            </w:pPr>
            <w:r w:rsidRPr="00D32720">
              <w:rPr>
                <w:color w:val="000000"/>
              </w:rPr>
              <w:t>18,8</w:t>
            </w:r>
          </w:p>
        </w:tc>
        <w:tc>
          <w:tcPr>
            <w:tcW w:w="1334"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334"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237"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048" w:type="dxa"/>
            <w:tcBorders>
              <w:top w:val="nil"/>
              <w:left w:val="nil"/>
              <w:bottom w:val="single" w:sz="4" w:space="0" w:color="000000"/>
              <w:right w:val="single" w:sz="4" w:space="0" w:color="000000"/>
            </w:tcBorders>
            <w:vAlign w:val="center"/>
          </w:tcPr>
          <w:p w:rsidR="00793E57" w:rsidRPr="00D32720" w:rsidRDefault="00CA3B4B" w:rsidP="00A300A6">
            <w:pPr>
              <w:jc w:val="right"/>
              <w:rPr>
                <w:b/>
                <w:bCs/>
                <w:color w:val="000000"/>
              </w:rPr>
            </w:pPr>
            <w:r w:rsidRPr="00D32720">
              <w:rPr>
                <w:b/>
                <w:bCs/>
                <w:color w:val="000000"/>
              </w:rPr>
              <w:t>18,8</w:t>
            </w:r>
          </w:p>
        </w:tc>
      </w:tr>
      <w:tr w:rsidR="00793E57" w:rsidRPr="007E3287" w:rsidTr="00A300A6">
        <w:trPr>
          <w:trHeight w:val="255"/>
        </w:trPr>
        <w:tc>
          <w:tcPr>
            <w:tcW w:w="295" w:type="dxa"/>
            <w:tcBorders>
              <w:top w:val="nil"/>
              <w:left w:val="single" w:sz="4" w:space="0" w:color="000000"/>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2</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2</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375"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16</w:t>
            </w:r>
          </w:p>
        </w:tc>
        <w:tc>
          <w:tcPr>
            <w:tcW w:w="1890" w:type="dxa"/>
            <w:tcBorders>
              <w:top w:val="nil"/>
              <w:left w:val="nil"/>
              <w:bottom w:val="single" w:sz="4" w:space="0" w:color="000000"/>
              <w:right w:val="single" w:sz="4" w:space="0" w:color="000000"/>
            </w:tcBorders>
            <w:vAlign w:val="center"/>
          </w:tcPr>
          <w:p w:rsidR="00793E57" w:rsidRPr="007E3287" w:rsidRDefault="00793E57" w:rsidP="00A300A6">
            <w:pPr>
              <w:rPr>
                <w:color w:val="000000"/>
                <w:sz w:val="16"/>
                <w:szCs w:val="16"/>
              </w:rPr>
            </w:pPr>
            <w:r w:rsidRPr="007E3287">
              <w:rPr>
                <w:color w:val="000000"/>
                <w:sz w:val="16"/>
                <w:szCs w:val="16"/>
              </w:rPr>
              <w:t>Kvalifikacijos kėlimas</w:t>
            </w:r>
          </w:p>
        </w:tc>
        <w:tc>
          <w:tcPr>
            <w:tcW w:w="1383" w:type="dxa"/>
            <w:tcBorders>
              <w:top w:val="nil"/>
              <w:left w:val="nil"/>
              <w:bottom w:val="single" w:sz="4" w:space="0" w:color="000000"/>
              <w:right w:val="single" w:sz="4" w:space="0" w:color="000000"/>
            </w:tcBorders>
            <w:vAlign w:val="center"/>
          </w:tcPr>
          <w:p w:rsidR="00793E57" w:rsidRPr="00D32720" w:rsidRDefault="00CA3B4B" w:rsidP="00A300A6">
            <w:pPr>
              <w:jc w:val="right"/>
              <w:rPr>
                <w:color w:val="000000"/>
              </w:rPr>
            </w:pPr>
            <w:r w:rsidRPr="00D32720">
              <w:rPr>
                <w:color w:val="000000"/>
              </w:rPr>
              <w:t>0,1</w:t>
            </w:r>
          </w:p>
        </w:tc>
        <w:tc>
          <w:tcPr>
            <w:tcW w:w="1334" w:type="dxa"/>
            <w:tcBorders>
              <w:top w:val="nil"/>
              <w:left w:val="nil"/>
              <w:bottom w:val="single" w:sz="4" w:space="0" w:color="000000"/>
              <w:right w:val="single" w:sz="4" w:space="0" w:color="000000"/>
            </w:tcBorders>
            <w:vAlign w:val="center"/>
          </w:tcPr>
          <w:p w:rsidR="00793E57" w:rsidRPr="00D32720" w:rsidRDefault="00CA3B4B" w:rsidP="00A300A6">
            <w:pPr>
              <w:jc w:val="right"/>
              <w:rPr>
                <w:color w:val="000000"/>
              </w:rPr>
            </w:pPr>
            <w:r w:rsidRPr="00D32720">
              <w:rPr>
                <w:color w:val="000000"/>
              </w:rPr>
              <w:t>1,6</w:t>
            </w:r>
          </w:p>
        </w:tc>
        <w:tc>
          <w:tcPr>
            <w:tcW w:w="1334" w:type="dxa"/>
            <w:tcBorders>
              <w:top w:val="nil"/>
              <w:left w:val="nil"/>
              <w:bottom w:val="single" w:sz="4" w:space="0" w:color="000000"/>
              <w:right w:val="single" w:sz="4" w:space="0" w:color="000000"/>
            </w:tcBorders>
            <w:vAlign w:val="center"/>
          </w:tcPr>
          <w:p w:rsidR="00793E57" w:rsidRPr="00D32720" w:rsidRDefault="00CA3B4B" w:rsidP="00A300A6">
            <w:pPr>
              <w:jc w:val="right"/>
              <w:rPr>
                <w:color w:val="000000"/>
              </w:rPr>
            </w:pPr>
            <w:r w:rsidRPr="00D32720">
              <w:rPr>
                <w:color w:val="000000"/>
              </w:rPr>
              <w:t>0,1</w:t>
            </w:r>
          </w:p>
        </w:tc>
        <w:tc>
          <w:tcPr>
            <w:tcW w:w="1237"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048" w:type="dxa"/>
            <w:tcBorders>
              <w:top w:val="nil"/>
              <w:left w:val="nil"/>
              <w:bottom w:val="single" w:sz="4" w:space="0" w:color="000000"/>
              <w:right w:val="single" w:sz="4" w:space="0" w:color="000000"/>
            </w:tcBorders>
            <w:vAlign w:val="center"/>
          </w:tcPr>
          <w:p w:rsidR="00793E57" w:rsidRPr="00D32720" w:rsidRDefault="00CA3B4B" w:rsidP="00A300A6">
            <w:pPr>
              <w:jc w:val="right"/>
              <w:rPr>
                <w:b/>
                <w:bCs/>
                <w:color w:val="000000"/>
              </w:rPr>
            </w:pPr>
            <w:r w:rsidRPr="00D32720">
              <w:rPr>
                <w:b/>
                <w:bCs/>
                <w:color w:val="000000"/>
              </w:rPr>
              <w:t>1,8</w:t>
            </w:r>
          </w:p>
        </w:tc>
      </w:tr>
      <w:tr w:rsidR="00793E57" w:rsidRPr="007E3287" w:rsidTr="00A300A6">
        <w:trPr>
          <w:trHeight w:val="255"/>
        </w:trPr>
        <w:tc>
          <w:tcPr>
            <w:tcW w:w="295" w:type="dxa"/>
            <w:tcBorders>
              <w:top w:val="nil"/>
              <w:left w:val="single" w:sz="4" w:space="0" w:color="000000"/>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2</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2</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375"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20</w:t>
            </w:r>
          </w:p>
        </w:tc>
        <w:tc>
          <w:tcPr>
            <w:tcW w:w="1890" w:type="dxa"/>
            <w:tcBorders>
              <w:top w:val="nil"/>
              <w:left w:val="nil"/>
              <w:bottom w:val="single" w:sz="4" w:space="0" w:color="000000"/>
              <w:right w:val="single" w:sz="4" w:space="0" w:color="000000"/>
            </w:tcBorders>
            <w:vAlign w:val="center"/>
          </w:tcPr>
          <w:p w:rsidR="00793E57" w:rsidRPr="007E3287" w:rsidRDefault="00793E57" w:rsidP="00A300A6">
            <w:pPr>
              <w:rPr>
                <w:color w:val="000000"/>
                <w:sz w:val="16"/>
                <w:szCs w:val="16"/>
              </w:rPr>
            </w:pPr>
            <w:r w:rsidRPr="007E3287">
              <w:rPr>
                <w:color w:val="000000"/>
                <w:sz w:val="16"/>
                <w:szCs w:val="16"/>
              </w:rPr>
              <w:t>Komunalinės paslaugos</w:t>
            </w:r>
          </w:p>
        </w:tc>
        <w:tc>
          <w:tcPr>
            <w:tcW w:w="1383" w:type="dxa"/>
            <w:tcBorders>
              <w:top w:val="nil"/>
              <w:left w:val="nil"/>
              <w:bottom w:val="single" w:sz="4" w:space="0" w:color="000000"/>
              <w:right w:val="single" w:sz="4" w:space="0" w:color="000000"/>
            </w:tcBorders>
            <w:vAlign w:val="center"/>
          </w:tcPr>
          <w:p w:rsidR="00793E57" w:rsidRPr="00D32720" w:rsidRDefault="00CA3B4B" w:rsidP="00A300A6">
            <w:pPr>
              <w:jc w:val="right"/>
              <w:rPr>
                <w:color w:val="000000"/>
              </w:rPr>
            </w:pPr>
            <w:r w:rsidRPr="00D32720">
              <w:rPr>
                <w:color w:val="000000"/>
              </w:rPr>
              <w:t>47,9</w:t>
            </w:r>
          </w:p>
        </w:tc>
        <w:tc>
          <w:tcPr>
            <w:tcW w:w="1334"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334" w:type="dxa"/>
            <w:tcBorders>
              <w:top w:val="nil"/>
              <w:left w:val="nil"/>
              <w:bottom w:val="single" w:sz="4" w:space="0" w:color="000000"/>
              <w:right w:val="single" w:sz="4" w:space="0" w:color="000000"/>
            </w:tcBorders>
            <w:vAlign w:val="center"/>
          </w:tcPr>
          <w:p w:rsidR="00793E57" w:rsidRPr="00D32720" w:rsidRDefault="00CA3B4B" w:rsidP="00A300A6">
            <w:pPr>
              <w:jc w:val="right"/>
              <w:rPr>
                <w:color w:val="000000"/>
              </w:rPr>
            </w:pPr>
            <w:r w:rsidRPr="00D32720">
              <w:rPr>
                <w:color w:val="000000"/>
              </w:rPr>
              <w:t>3,0</w:t>
            </w:r>
          </w:p>
        </w:tc>
        <w:tc>
          <w:tcPr>
            <w:tcW w:w="1237"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048" w:type="dxa"/>
            <w:tcBorders>
              <w:top w:val="nil"/>
              <w:left w:val="nil"/>
              <w:bottom w:val="single" w:sz="4" w:space="0" w:color="000000"/>
              <w:right w:val="single" w:sz="4" w:space="0" w:color="000000"/>
            </w:tcBorders>
            <w:vAlign w:val="center"/>
          </w:tcPr>
          <w:p w:rsidR="00793E57" w:rsidRPr="00D32720" w:rsidRDefault="00CA3B4B" w:rsidP="00A300A6">
            <w:pPr>
              <w:jc w:val="right"/>
              <w:rPr>
                <w:b/>
                <w:bCs/>
                <w:color w:val="000000"/>
              </w:rPr>
            </w:pPr>
            <w:r w:rsidRPr="00D32720">
              <w:rPr>
                <w:b/>
                <w:bCs/>
                <w:color w:val="000000"/>
              </w:rPr>
              <w:t>50,9</w:t>
            </w:r>
          </w:p>
        </w:tc>
      </w:tr>
      <w:tr w:rsidR="00793E57" w:rsidRPr="007E3287" w:rsidTr="00A300A6">
        <w:trPr>
          <w:trHeight w:val="255"/>
        </w:trPr>
        <w:tc>
          <w:tcPr>
            <w:tcW w:w="295" w:type="dxa"/>
            <w:tcBorders>
              <w:top w:val="nil"/>
              <w:left w:val="single" w:sz="4" w:space="0" w:color="000000"/>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2</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2</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375"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30</w:t>
            </w:r>
          </w:p>
        </w:tc>
        <w:tc>
          <w:tcPr>
            <w:tcW w:w="1890" w:type="dxa"/>
            <w:tcBorders>
              <w:top w:val="nil"/>
              <w:left w:val="nil"/>
              <w:bottom w:val="single" w:sz="4" w:space="0" w:color="000000"/>
              <w:right w:val="single" w:sz="4" w:space="0" w:color="000000"/>
            </w:tcBorders>
            <w:vAlign w:val="center"/>
          </w:tcPr>
          <w:p w:rsidR="00793E57" w:rsidRPr="007E3287" w:rsidRDefault="00793E57" w:rsidP="00A300A6">
            <w:pPr>
              <w:rPr>
                <w:color w:val="000000"/>
                <w:sz w:val="16"/>
                <w:szCs w:val="16"/>
              </w:rPr>
            </w:pPr>
            <w:r w:rsidRPr="007E3287">
              <w:rPr>
                <w:color w:val="000000"/>
                <w:sz w:val="16"/>
                <w:szCs w:val="16"/>
              </w:rPr>
              <w:t>Kitos paslaugos</w:t>
            </w:r>
          </w:p>
        </w:tc>
        <w:tc>
          <w:tcPr>
            <w:tcW w:w="1383" w:type="dxa"/>
            <w:tcBorders>
              <w:top w:val="nil"/>
              <w:left w:val="nil"/>
              <w:bottom w:val="single" w:sz="4" w:space="0" w:color="000000"/>
              <w:right w:val="single" w:sz="4" w:space="0" w:color="000000"/>
            </w:tcBorders>
            <w:vAlign w:val="center"/>
          </w:tcPr>
          <w:p w:rsidR="00793E57" w:rsidRPr="00D32720" w:rsidRDefault="00CA3B4B" w:rsidP="00A300A6">
            <w:pPr>
              <w:jc w:val="right"/>
              <w:rPr>
                <w:color w:val="000000"/>
              </w:rPr>
            </w:pPr>
            <w:r w:rsidRPr="00D32720">
              <w:rPr>
                <w:color w:val="000000"/>
              </w:rPr>
              <w:t>69</w:t>
            </w:r>
          </w:p>
        </w:tc>
        <w:tc>
          <w:tcPr>
            <w:tcW w:w="1334" w:type="dxa"/>
            <w:tcBorders>
              <w:top w:val="nil"/>
              <w:left w:val="nil"/>
              <w:bottom w:val="single" w:sz="4" w:space="0" w:color="000000"/>
              <w:right w:val="single" w:sz="4" w:space="0" w:color="000000"/>
            </w:tcBorders>
            <w:vAlign w:val="center"/>
          </w:tcPr>
          <w:p w:rsidR="00793E57" w:rsidRPr="00D32720" w:rsidRDefault="00CA3B4B" w:rsidP="00A300A6">
            <w:pPr>
              <w:jc w:val="right"/>
              <w:rPr>
                <w:color w:val="000000"/>
              </w:rPr>
            </w:pPr>
            <w:r w:rsidRPr="00D32720">
              <w:rPr>
                <w:color w:val="000000"/>
              </w:rPr>
              <w:t>8,3</w:t>
            </w:r>
          </w:p>
        </w:tc>
        <w:tc>
          <w:tcPr>
            <w:tcW w:w="1334" w:type="dxa"/>
            <w:tcBorders>
              <w:top w:val="nil"/>
              <w:left w:val="nil"/>
              <w:bottom w:val="single" w:sz="4" w:space="0" w:color="000000"/>
              <w:right w:val="single" w:sz="4" w:space="0" w:color="000000"/>
            </w:tcBorders>
            <w:vAlign w:val="center"/>
          </w:tcPr>
          <w:p w:rsidR="00793E57" w:rsidRPr="00D32720" w:rsidRDefault="00CA3B4B" w:rsidP="00A300A6">
            <w:pPr>
              <w:jc w:val="right"/>
              <w:rPr>
                <w:color w:val="000000"/>
              </w:rPr>
            </w:pPr>
            <w:r w:rsidRPr="00D32720">
              <w:rPr>
                <w:color w:val="000000"/>
              </w:rPr>
              <w:t>1,6</w:t>
            </w:r>
          </w:p>
        </w:tc>
        <w:tc>
          <w:tcPr>
            <w:tcW w:w="1237" w:type="dxa"/>
            <w:tcBorders>
              <w:top w:val="nil"/>
              <w:left w:val="nil"/>
              <w:bottom w:val="single" w:sz="4" w:space="0" w:color="000000"/>
              <w:right w:val="single" w:sz="4" w:space="0" w:color="000000"/>
            </w:tcBorders>
            <w:vAlign w:val="center"/>
          </w:tcPr>
          <w:p w:rsidR="00793E57" w:rsidRPr="00D32720" w:rsidRDefault="00CA3B4B" w:rsidP="00A300A6">
            <w:pPr>
              <w:jc w:val="right"/>
              <w:rPr>
                <w:color w:val="000000"/>
              </w:rPr>
            </w:pPr>
            <w:r w:rsidRPr="00D32720">
              <w:rPr>
                <w:color w:val="000000"/>
              </w:rPr>
              <w:t>4,5</w:t>
            </w:r>
          </w:p>
        </w:tc>
        <w:tc>
          <w:tcPr>
            <w:tcW w:w="1048" w:type="dxa"/>
            <w:tcBorders>
              <w:top w:val="nil"/>
              <w:left w:val="nil"/>
              <w:bottom w:val="single" w:sz="4" w:space="0" w:color="000000"/>
              <w:right w:val="single" w:sz="4" w:space="0" w:color="000000"/>
            </w:tcBorders>
            <w:vAlign w:val="center"/>
          </w:tcPr>
          <w:p w:rsidR="00793E57" w:rsidRPr="00D32720" w:rsidRDefault="00CA3B4B" w:rsidP="00A300A6">
            <w:pPr>
              <w:jc w:val="right"/>
              <w:rPr>
                <w:b/>
                <w:bCs/>
                <w:color w:val="000000"/>
              </w:rPr>
            </w:pPr>
            <w:r w:rsidRPr="00D32720">
              <w:rPr>
                <w:b/>
                <w:bCs/>
                <w:color w:val="000000"/>
              </w:rPr>
              <w:t>83,4</w:t>
            </w:r>
          </w:p>
        </w:tc>
      </w:tr>
      <w:tr w:rsidR="00793E57" w:rsidRPr="007E3287" w:rsidTr="00A300A6">
        <w:trPr>
          <w:trHeight w:val="255"/>
        </w:trPr>
        <w:tc>
          <w:tcPr>
            <w:tcW w:w="295" w:type="dxa"/>
            <w:tcBorders>
              <w:top w:val="nil"/>
              <w:left w:val="single" w:sz="4" w:space="0" w:color="000000"/>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Pr>
                <w:color w:val="000000"/>
                <w:sz w:val="16"/>
                <w:szCs w:val="16"/>
              </w:rPr>
              <w:t>2</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Pr>
                <w:color w:val="000000"/>
                <w:sz w:val="16"/>
                <w:szCs w:val="16"/>
              </w:rPr>
              <w:t>7</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p>
        </w:tc>
        <w:tc>
          <w:tcPr>
            <w:tcW w:w="375"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p>
        </w:tc>
        <w:tc>
          <w:tcPr>
            <w:tcW w:w="1890" w:type="dxa"/>
            <w:tcBorders>
              <w:top w:val="nil"/>
              <w:left w:val="nil"/>
              <w:bottom w:val="single" w:sz="4" w:space="0" w:color="000000"/>
              <w:right w:val="single" w:sz="4" w:space="0" w:color="000000"/>
            </w:tcBorders>
            <w:vAlign w:val="center"/>
          </w:tcPr>
          <w:p w:rsidR="00793E57" w:rsidRPr="007E3287" w:rsidRDefault="00793E57" w:rsidP="00A300A6">
            <w:pPr>
              <w:rPr>
                <w:color w:val="000000"/>
                <w:sz w:val="16"/>
                <w:szCs w:val="16"/>
              </w:rPr>
            </w:pPr>
            <w:r>
              <w:rPr>
                <w:color w:val="000000"/>
                <w:sz w:val="16"/>
                <w:szCs w:val="16"/>
              </w:rPr>
              <w:t>socialinės išmokos (pašalpos)</w:t>
            </w:r>
          </w:p>
        </w:tc>
        <w:tc>
          <w:tcPr>
            <w:tcW w:w="1383" w:type="dxa"/>
            <w:tcBorders>
              <w:top w:val="nil"/>
              <w:left w:val="nil"/>
              <w:bottom w:val="single" w:sz="4" w:space="0" w:color="000000"/>
              <w:right w:val="single" w:sz="4" w:space="0" w:color="000000"/>
            </w:tcBorders>
            <w:vAlign w:val="center"/>
          </w:tcPr>
          <w:p w:rsidR="00793E57" w:rsidRPr="00D32720" w:rsidRDefault="00CA3B4B" w:rsidP="00A300A6">
            <w:pPr>
              <w:jc w:val="right"/>
              <w:rPr>
                <w:color w:val="000000"/>
              </w:rPr>
            </w:pPr>
            <w:r w:rsidRPr="00D32720">
              <w:rPr>
                <w:color w:val="000000"/>
              </w:rPr>
              <w:t>0,0</w:t>
            </w:r>
          </w:p>
        </w:tc>
        <w:tc>
          <w:tcPr>
            <w:tcW w:w="1334" w:type="dxa"/>
            <w:tcBorders>
              <w:top w:val="nil"/>
              <w:left w:val="nil"/>
              <w:bottom w:val="single" w:sz="4" w:space="0" w:color="000000"/>
              <w:right w:val="single" w:sz="4" w:space="0" w:color="000000"/>
            </w:tcBorders>
            <w:vAlign w:val="center"/>
          </w:tcPr>
          <w:p w:rsidR="00793E57" w:rsidRPr="00D32720" w:rsidRDefault="00CA3B4B" w:rsidP="00A300A6">
            <w:pPr>
              <w:jc w:val="right"/>
              <w:rPr>
                <w:color w:val="000000"/>
              </w:rPr>
            </w:pPr>
            <w:r w:rsidRPr="00D32720">
              <w:rPr>
                <w:color w:val="000000"/>
              </w:rPr>
              <w:t>0,0</w:t>
            </w:r>
          </w:p>
        </w:tc>
        <w:tc>
          <w:tcPr>
            <w:tcW w:w="1334" w:type="dxa"/>
            <w:tcBorders>
              <w:top w:val="nil"/>
              <w:left w:val="nil"/>
              <w:bottom w:val="single" w:sz="4" w:space="0" w:color="000000"/>
              <w:right w:val="single" w:sz="4" w:space="0" w:color="000000"/>
            </w:tcBorders>
            <w:vAlign w:val="center"/>
          </w:tcPr>
          <w:p w:rsidR="00793E57" w:rsidRPr="00D32720" w:rsidRDefault="00CA3B4B" w:rsidP="00A300A6">
            <w:pPr>
              <w:jc w:val="right"/>
              <w:rPr>
                <w:color w:val="000000"/>
              </w:rPr>
            </w:pPr>
            <w:r w:rsidRPr="00D32720">
              <w:rPr>
                <w:color w:val="000000"/>
              </w:rPr>
              <w:t>33,7</w:t>
            </w:r>
          </w:p>
        </w:tc>
        <w:tc>
          <w:tcPr>
            <w:tcW w:w="1237" w:type="dxa"/>
            <w:tcBorders>
              <w:top w:val="nil"/>
              <w:left w:val="nil"/>
              <w:bottom w:val="single" w:sz="4" w:space="0" w:color="000000"/>
              <w:right w:val="single" w:sz="4" w:space="0" w:color="000000"/>
            </w:tcBorders>
            <w:vAlign w:val="center"/>
          </w:tcPr>
          <w:p w:rsidR="00793E57" w:rsidRPr="00D32720" w:rsidRDefault="00CA3B4B" w:rsidP="00A300A6">
            <w:pPr>
              <w:jc w:val="right"/>
              <w:rPr>
                <w:color w:val="000000"/>
              </w:rPr>
            </w:pPr>
            <w:r w:rsidRPr="00D32720">
              <w:rPr>
                <w:color w:val="000000"/>
              </w:rPr>
              <w:t>0,0</w:t>
            </w:r>
          </w:p>
        </w:tc>
        <w:tc>
          <w:tcPr>
            <w:tcW w:w="1048" w:type="dxa"/>
            <w:tcBorders>
              <w:top w:val="nil"/>
              <w:left w:val="nil"/>
              <w:bottom w:val="single" w:sz="4" w:space="0" w:color="000000"/>
              <w:right w:val="single" w:sz="4" w:space="0" w:color="000000"/>
            </w:tcBorders>
            <w:vAlign w:val="center"/>
          </w:tcPr>
          <w:p w:rsidR="00793E57" w:rsidRPr="00D32720" w:rsidRDefault="00CA3B4B" w:rsidP="00A300A6">
            <w:pPr>
              <w:jc w:val="right"/>
              <w:rPr>
                <w:b/>
                <w:bCs/>
                <w:color w:val="000000"/>
              </w:rPr>
            </w:pPr>
            <w:r w:rsidRPr="00D32720">
              <w:rPr>
                <w:b/>
                <w:bCs/>
                <w:color w:val="000000"/>
              </w:rPr>
              <w:t>33,7</w:t>
            </w:r>
          </w:p>
        </w:tc>
      </w:tr>
      <w:tr w:rsidR="00793E57" w:rsidRPr="007E3287" w:rsidTr="00A300A6">
        <w:trPr>
          <w:trHeight w:val="255"/>
        </w:trPr>
        <w:tc>
          <w:tcPr>
            <w:tcW w:w="295" w:type="dxa"/>
            <w:tcBorders>
              <w:top w:val="nil"/>
              <w:left w:val="single" w:sz="4" w:space="0" w:color="000000"/>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2</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7</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2</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375"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1890" w:type="dxa"/>
            <w:tcBorders>
              <w:top w:val="nil"/>
              <w:left w:val="nil"/>
              <w:bottom w:val="single" w:sz="4" w:space="0" w:color="000000"/>
              <w:right w:val="single" w:sz="4" w:space="0" w:color="000000"/>
            </w:tcBorders>
            <w:vAlign w:val="center"/>
          </w:tcPr>
          <w:p w:rsidR="00793E57" w:rsidRPr="007E3287" w:rsidRDefault="00793E57" w:rsidP="00A300A6">
            <w:pPr>
              <w:rPr>
                <w:color w:val="000000"/>
                <w:sz w:val="16"/>
                <w:szCs w:val="16"/>
              </w:rPr>
            </w:pPr>
            <w:r w:rsidRPr="007E3287">
              <w:rPr>
                <w:color w:val="000000"/>
                <w:sz w:val="16"/>
                <w:szCs w:val="16"/>
              </w:rPr>
              <w:t xml:space="preserve">Socialinė parama pinigais </w:t>
            </w:r>
          </w:p>
        </w:tc>
        <w:tc>
          <w:tcPr>
            <w:tcW w:w="1383"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334"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334" w:type="dxa"/>
            <w:tcBorders>
              <w:top w:val="nil"/>
              <w:left w:val="nil"/>
              <w:bottom w:val="single" w:sz="4" w:space="0" w:color="000000"/>
              <w:right w:val="single" w:sz="4" w:space="0" w:color="000000"/>
            </w:tcBorders>
            <w:vAlign w:val="center"/>
          </w:tcPr>
          <w:p w:rsidR="00793E57" w:rsidRPr="00D32720" w:rsidRDefault="00CA3B4B" w:rsidP="00A300A6">
            <w:pPr>
              <w:jc w:val="right"/>
              <w:rPr>
                <w:color w:val="000000"/>
              </w:rPr>
            </w:pPr>
            <w:r w:rsidRPr="00D32720">
              <w:rPr>
                <w:color w:val="000000"/>
              </w:rPr>
              <w:t>33,7</w:t>
            </w:r>
          </w:p>
        </w:tc>
        <w:tc>
          <w:tcPr>
            <w:tcW w:w="1237"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048" w:type="dxa"/>
            <w:tcBorders>
              <w:top w:val="nil"/>
              <w:left w:val="nil"/>
              <w:bottom w:val="single" w:sz="4" w:space="0" w:color="000000"/>
              <w:right w:val="single" w:sz="4" w:space="0" w:color="000000"/>
            </w:tcBorders>
            <w:vAlign w:val="center"/>
          </w:tcPr>
          <w:p w:rsidR="00793E57" w:rsidRPr="00D32720" w:rsidRDefault="00CA3B4B" w:rsidP="00A300A6">
            <w:pPr>
              <w:jc w:val="right"/>
              <w:rPr>
                <w:b/>
                <w:bCs/>
                <w:color w:val="000000"/>
              </w:rPr>
            </w:pPr>
            <w:r w:rsidRPr="00D32720">
              <w:rPr>
                <w:b/>
                <w:bCs/>
                <w:color w:val="000000"/>
              </w:rPr>
              <w:t>33,7</w:t>
            </w:r>
          </w:p>
        </w:tc>
      </w:tr>
      <w:tr w:rsidR="00793E57" w:rsidRPr="007E3287" w:rsidTr="00A300A6">
        <w:trPr>
          <w:trHeight w:val="255"/>
        </w:trPr>
        <w:tc>
          <w:tcPr>
            <w:tcW w:w="295" w:type="dxa"/>
            <w:tcBorders>
              <w:top w:val="nil"/>
              <w:left w:val="single" w:sz="4" w:space="0" w:color="000000"/>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Pr>
                <w:color w:val="000000"/>
                <w:sz w:val="16"/>
                <w:szCs w:val="16"/>
              </w:rPr>
              <w:t>2</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Pr>
                <w:color w:val="000000"/>
                <w:sz w:val="16"/>
                <w:szCs w:val="16"/>
              </w:rPr>
              <w:t>8</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p>
        </w:tc>
        <w:tc>
          <w:tcPr>
            <w:tcW w:w="375"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p>
        </w:tc>
        <w:tc>
          <w:tcPr>
            <w:tcW w:w="1890" w:type="dxa"/>
            <w:tcBorders>
              <w:top w:val="nil"/>
              <w:left w:val="nil"/>
              <w:bottom w:val="single" w:sz="4" w:space="0" w:color="000000"/>
              <w:right w:val="single" w:sz="4" w:space="0" w:color="000000"/>
            </w:tcBorders>
            <w:vAlign w:val="center"/>
          </w:tcPr>
          <w:p w:rsidR="00793E57" w:rsidRPr="007E3287" w:rsidRDefault="00793E57" w:rsidP="00A300A6">
            <w:pPr>
              <w:rPr>
                <w:color w:val="000000"/>
                <w:sz w:val="16"/>
                <w:szCs w:val="16"/>
              </w:rPr>
            </w:pPr>
            <w:r>
              <w:rPr>
                <w:color w:val="000000"/>
                <w:sz w:val="16"/>
                <w:szCs w:val="16"/>
              </w:rPr>
              <w:t>Kitos išlaidos</w:t>
            </w:r>
          </w:p>
        </w:tc>
        <w:tc>
          <w:tcPr>
            <w:tcW w:w="1383" w:type="dxa"/>
            <w:tcBorders>
              <w:top w:val="nil"/>
              <w:left w:val="nil"/>
              <w:bottom w:val="single" w:sz="4" w:space="0" w:color="000000"/>
              <w:right w:val="single" w:sz="4" w:space="0" w:color="000000"/>
            </w:tcBorders>
            <w:vAlign w:val="center"/>
          </w:tcPr>
          <w:p w:rsidR="00793E57" w:rsidRPr="00D32720" w:rsidRDefault="00CA3B4B" w:rsidP="00A300A6">
            <w:pPr>
              <w:jc w:val="right"/>
              <w:rPr>
                <w:color w:val="000000"/>
              </w:rPr>
            </w:pPr>
            <w:r w:rsidRPr="00D32720">
              <w:rPr>
                <w:color w:val="000000"/>
              </w:rPr>
              <w:t>0,0</w:t>
            </w:r>
          </w:p>
        </w:tc>
        <w:tc>
          <w:tcPr>
            <w:tcW w:w="1334" w:type="dxa"/>
            <w:tcBorders>
              <w:top w:val="nil"/>
              <w:left w:val="nil"/>
              <w:bottom w:val="single" w:sz="4" w:space="0" w:color="000000"/>
              <w:right w:val="single" w:sz="4" w:space="0" w:color="000000"/>
            </w:tcBorders>
            <w:vAlign w:val="center"/>
          </w:tcPr>
          <w:p w:rsidR="00793E57" w:rsidRPr="00D32720" w:rsidRDefault="00CA3B4B" w:rsidP="00A300A6">
            <w:pPr>
              <w:jc w:val="right"/>
              <w:rPr>
                <w:color w:val="000000"/>
              </w:rPr>
            </w:pPr>
            <w:r w:rsidRPr="00D32720">
              <w:rPr>
                <w:color w:val="000000"/>
              </w:rPr>
              <w:t>0,0</w:t>
            </w:r>
          </w:p>
        </w:tc>
        <w:tc>
          <w:tcPr>
            <w:tcW w:w="1334" w:type="dxa"/>
            <w:tcBorders>
              <w:top w:val="nil"/>
              <w:left w:val="nil"/>
              <w:bottom w:val="single" w:sz="4" w:space="0" w:color="000000"/>
              <w:right w:val="single" w:sz="4" w:space="0" w:color="000000"/>
            </w:tcBorders>
            <w:vAlign w:val="center"/>
          </w:tcPr>
          <w:p w:rsidR="00793E57" w:rsidRPr="00D32720" w:rsidRDefault="00CA3B4B" w:rsidP="00A300A6">
            <w:pPr>
              <w:jc w:val="right"/>
              <w:rPr>
                <w:color w:val="000000"/>
              </w:rPr>
            </w:pPr>
            <w:r w:rsidRPr="00D32720">
              <w:rPr>
                <w:color w:val="000000"/>
              </w:rPr>
              <w:t>0,0</w:t>
            </w:r>
          </w:p>
        </w:tc>
        <w:tc>
          <w:tcPr>
            <w:tcW w:w="1237" w:type="dxa"/>
            <w:tcBorders>
              <w:top w:val="nil"/>
              <w:left w:val="nil"/>
              <w:bottom w:val="single" w:sz="4" w:space="0" w:color="000000"/>
              <w:right w:val="single" w:sz="4" w:space="0" w:color="000000"/>
            </w:tcBorders>
            <w:vAlign w:val="center"/>
          </w:tcPr>
          <w:p w:rsidR="00793E57" w:rsidRPr="00D32720" w:rsidRDefault="00CA3B4B" w:rsidP="00A300A6">
            <w:pPr>
              <w:jc w:val="right"/>
              <w:rPr>
                <w:color w:val="000000"/>
              </w:rPr>
            </w:pPr>
            <w:r w:rsidRPr="00D32720">
              <w:rPr>
                <w:color w:val="000000"/>
              </w:rPr>
              <w:t>0,0</w:t>
            </w:r>
          </w:p>
        </w:tc>
        <w:tc>
          <w:tcPr>
            <w:tcW w:w="1048" w:type="dxa"/>
            <w:tcBorders>
              <w:top w:val="nil"/>
              <w:left w:val="nil"/>
              <w:bottom w:val="single" w:sz="4" w:space="0" w:color="000000"/>
              <w:right w:val="single" w:sz="4" w:space="0" w:color="000000"/>
            </w:tcBorders>
            <w:vAlign w:val="center"/>
          </w:tcPr>
          <w:p w:rsidR="00793E57" w:rsidRPr="00D32720" w:rsidRDefault="00CA3B4B" w:rsidP="00A300A6">
            <w:pPr>
              <w:jc w:val="right"/>
              <w:rPr>
                <w:b/>
                <w:bCs/>
                <w:color w:val="000000"/>
              </w:rPr>
            </w:pPr>
            <w:r w:rsidRPr="00D32720">
              <w:rPr>
                <w:b/>
                <w:bCs/>
                <w:color w:val="000000"/>
              </w:rPr>
              <w:t>0,0</w:t>
            </w:r>
          </w:p>
        </w:tc>
      </w:tr>
      <w:tr w:rsidR="00793E57" w:rsidRPr="007E3287" w:rsidTr="00A300A6">
        <w:trPr>
          <w:trHeight w:val="255"/>
        </w:trPr>
        <w:tc>
          <w:tcPr>
            <w:tcW w:w="295" w:type="dxa"/>
            <w:tcBorders>
              <w:top w:val="nil"/>
              <w:left w:val="single" w:sz="4" w:space="0" w:color="000000"/>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2</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8</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375" w:type="dxa"/>
            <w:tcBorders>
              <w:top w:val="nil"/>
              <w:left w:val="nil"/>
              <w:bottom w:val="single" w:sz="4" w:space="0" w:color="000000"/>
              <w:right w:val="single" w:sz="4" w:space="0" w:color="000000"/>
            </w:tcBorders>
            <w:vAlign w:val="center"/>
          </w:tcPr>
          <w:p w:rsidR="00793E57" w:rsidRPr="007E3287" w:rsidRDefault="00793E57" w:rsidP="00A300A6">
            <w:pPr>
              <w:jc w:val="center"/>
              <w:rPr>
                <w:color w:val="000000"/>
                <w:sz w:val="16"/>
                <w:szCs w:val="16"/>
              </w:rPr>
            </w:pPr>
            <w:r w:rsidRPr="007E3287">
              <w:rPr>
                <w:color w:val="000000"/>
                <w:sz w:val="16"/>
                <w:szCs w:val="16"/>
              </w:rPr>
              <w:t>2</w:t>
            </w:r>
          </w:p>
        </w:tc>
        <w:tc>
          <w:tcPr>
            <w:tcW w:w="1890" w:type="dxa"/>
            <w:tcBorders>
              <w:top w:val="nil"/>
              <w:left w:val="nil"/>
              <w:bottom w:val="single" w:sz="4" w:space="0" w:color="000000"/>
              <w:right w:val="single" w:sz="4" w:space="0" w:color="000000"/>
            </w:tcBorders>
            <w:vAlign w:val="center"/>
          </w:tcPr>
          <w:p w:rsidR="00793E57" w:rsidRPr="007E3287" w:rsidRDefault="00793E57" w:rsidP="00A300A6">
            <w:pPr>
              <w:rPr>
                <w:color w:val="000000"/>
                <w:sz w:val="16"/>
                <w:szCs w:val="16"/>
              </w:rPr>
            </w:pPr>
            <w:r w:rsidRPr="007E3287">
              <w:rPr>
                <w:color w:val="000000"/>
                <w:sz w:val="16"/>
                <w:szCs w:val="16"/>
              </w:rPr>
              <w:t xml:space="preserve">Kitiems einamiesiems tikslams </w:t>
            </w:r>
          </w:p>
        </w:tc>
        <w:tc>
          <w:tcPr>
            <w:tcW w:w="1383"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334"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334"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237" w:type="dxa"/>
            <w:tcBorders>
              <w:top w:val="nil"/>
              <w:left w:val="nil"/>
              <w:bottom w:val="single" w:sz="4" w:space="0" w:color="000000"/>
              <w:right w:val="single" w:sz="4" w:space="0" w:color="000000"/>
            </w:tcBorders>
            <w:vAlign w:val="center"/>
          </w:tcPr>
          <w:p w:rsidR="00793E57" w:rsidRPr="00D32720" w:rsidRDefault="00793E57" w:rsidP="00A300A6">
            <w:pPr>
              <w:jc w:val="right"/>
              <w:rPr>
                <w:color w:val="000000"/>
              </w:rPr>
            </w:pPr>
          </w:p>
        </w:tc>
        <w:tc>
          <w:tcPr>
            <w:tcW w:w="1048" w:type="dxa"/>
            <w:tcBorders>
              <w:top w:val="nil"/>
              <w:left w:val="nil"/>
              <w:bottom w:val="single" w:sz="4" w:space="0" w:color="000000"/>
              <w:right w:val="single" w:sz="4" w:space="0" w:color="000000"/>
            </w:tcBorders>
            <w:vAlign w:val="center"/>
          </w:tcPr>
          <w:p w:rsidR="00793E57" w:rsidRPr="00D32720" w:rsidRDefault="00CA3B4B" w:rsidP="00A300A6">
            <w:pPr>
              <w:jc w:val="right"/>
              <w:rPr>
                <w:b/>
                <w:bCs/>
                <w:color w:val="000000"/>
              </w:rPr>
            </w:pPr>
            <w:r w:rsidRPr="00D32720">
              <w:rPr>
                <w:b/>
                <w:bCs/>
                <w:color w:val="000000"/>
              </w:rPr>
              <w:t>0,0</w:t>
            </w:r>
          </w:p>
        </w:tc>
      </w:tr>
      <w:tr w:rsidR="00793E57" w:rsidRPr="007E3287" w:rsidTr="00A300A6">
        <w:trPr>
          <w:trHeight w:val="420"/>
        </w:trPr>
        <w:tc>
          <w:tcPr>
            <w:tcW w:w="295" w:type="dxa"/>
            <w:tcBorders>
              <w:top w:val="nil"/>
              <w:left w:val="single" w:sz="4" w:space="0" w:color="000000"/>
              <w:bottom w:val="single" w:sz="4" w:space="0" w:color="000000"/>
              <w:right w:val="single" w:sz="4" w:space="0" w:color="000000"/>
            </w:tcBorders>
            <w:vAlign w:val="center"/>
          </w:tcPr>
          <w:p w:rsidR="00793E57" w:rsidRPr="007E3287" w:rsidRDefault="00793E57" w:rsidP="00A300A6">
            <w:pPr>
              <w:jc w:val="center"/>
              <w:rPr>
                <w:b/>
                <w:bCs/>
                <w:color w:val="000000"/>
                <w:sz w:val="16"/>
                <w:szCs w:val="16"/>
              </w:rPr>
            </w:pPr>
            <w:r w:rsidRPr="007E3287">
              <w:rPr>
                <w:b/>
                <w:bCs/>
                <w:color w:val="000000"/>
                <w:sz w:val="16"/>
                <w:szCs w:val="16"/>
              </w:rPr>
              <w:t>3</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b/>
                <w:bCs/>
                <w:color w:val="000000"/>
                <w:sz w:val="16"/>
                <w:szCs w:val="16"/>
              </w:rPr>
            </w:pPr>
            <w:r w:rsidRPr="007E3287">
              <w:rPr>
                <w:b/>
                <w:bCs/>
                <w:color w:val="000000"/>
                <w:sz w:val="16"/>
                <w:szCs w:val="16"/>
              </w:rPr>
              <w:t>1</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b/>
                <w:bCs/>
                <w:color w:val="000000"/>
                <w:sz w:val="16"/>
                <w:szCs w:val="16"/>
              </w:rPr>
            </w:pPr>
            <w:r w:rsidRPr="007E3287">
              <w:rPr>
                <w:b/>
                <w:bCs/>
                <w:color w:val="000000"/>
                <w:sz w:val="16"/>
                <w:szCs w:val="16"/>
              </w:rPr>
              <w:t> </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b/>
                <w:bCs/>
                <w:color w:val="000000"/>
                <w:sz w:val="16"/>
                <w:szCs w:val="16"/>
              </w:rPr>
            </w:pPr>
            <w:r w:rsidRPr="007E3287">
              <w:rPr>
                <w:b/>
                <w:bCs/>
                <w:color w:val="000000"/>
                <w:sz w:val="16"/>
                <w:szCs w:val="16"/>
              </w:rPr>
              <w:t> </w:t>
            </w:r>
          </w:p>
        </w:tc>
        <w:tc>
          <w:tcPr>
            <w:tcW w:w="296" w:type="dxa"/>
            <w:tcBorders>
              <w:top w:val="nil"/>
              <w:left w:val="nil"/>
              <w:bottom w:val="single" w:sz="4" w:space="0" w:color="000000"/>
              <w:right w:val="single" w:sz="4" w:space="0" w:color="000000"/>
            </w:tcBorders>
            <w:vAlign w:val="center"/>
          </w:tcPr>
          <w:p w:rsidR="00793E57" w:rsidRPr="007E3287" w:rsidRDefault="00793E57" w:rsidP="00A300A6">
            <w:pPr>
              <w:jc w:val="center"/>
              <w:rPr>
                <w:b/>
                <w:bCs/>
                <w:color w:val="000000"/>
                <w:sz w:val="16"/>
                <w:szCs w:val="16"/>
              </w:rPr>
            </w:pPr>
            <w:r w:rsidRPr="007E3287">
              <w:rPr>
                <w:b/>
                <w:bCs/>
                <w:color w:val="000000"/>
                <w:sz w:val="16"/>
                <w:szCs w:val="16"/>
              </w:rPr>
              <w:t> </w:t>
            </w:r>
          </w:p>
        </w:tc>
        <w:tc>
          <w:tcPr>
            <w:tcW w:w="375" w:type="dxa"/>
            <w:tcBorders>
              <w:top w:val="nil"/>
              <w:left w:val="nil"/>
              <w:bottom w:val="single" w:sz="4" w:space="0" w:color="000000"/>
              <w:right w:val="single" w:sz="4" w:space="0" w:color="000000"/>
            </w:tcBorders>
            <w:vAlign w:val="center"/>
          </w:tcPr>
          <w:p w:rsidR="00793E57" w:rsidRPr="007E3287" w:rsidRDefault="00793E57" w:rsidP="00A300A6">
            <w:pPr>
              <w:jc w:val="center"/>
              <w:rPr>
                <w:b/>
                <w:bCs/>
                <w:color w:val="000000"/>
                <w:sz w:val="16"/>
                <w:szCs w:val="16"/>
              </w:rPr>
            </w:pPr>
            <w:r w:rsidRPr="007E3287">
              <w:rPr>
                <w:b/>
                <w:bCs/>
                <w:color w:val="000000"/>
                <w:sz w:val="16"/>
                <w:szCs w:val="16"/>
              </w:rPr>
              <w:t> </w:t>
            </w:r>
          </w:p>
        </w:tc>
        <w:tc>
          <w:tcPr>
            <w:tcW w:w="1890" w:type="dxa"/>
            <w:tcBorders>
              <w:top w:val="nil"/>
              <w:left w:val="nil"/>
              <w:bottom w:val="single" w:sz="4" w:space="0" w:color="000000"/>
              <w:right w:val="single" w:sz="4" w:space="0" w:color="000000"/>
            </w:tcBorders>
            <w:vAlign w:val="center"/>
          </w:tcPr>
          <w:p w:rsidR="00793E57" w:rsidRPr="007E3287" w:rsidRDefault="00793E57" w:rsidP="00A300A6">
            <w:pPr>
              <w:rPr>
                <w:b/>
                <w:bCs/>
                <w:color w:val="000000"/>
                <w:sz w:val="16"/>
                <w:szCs w:val="16"/>
              </w:rPr>
            </w:pPr>
            <w:r w:rsidRPr="007E3287">
              <w:rPr>
                <w:b/>
                <w:bCs/>
                <w:color w:val="000000"/>
                <w:sz w:val="16"/>
                <w:szCs w:val="16"/>
              </w:rPr>
              <w:t>Materialiojo ir nematerialiojo turto įsigijimo išlaidos</w:t>
            </w:r>
          </w:p>
        </w:tc>
        <w:tc>
          <w:tcPr>
            <w:tcW w:w="1383" w:type="dxa"/>
            <w:tcBorders>
              <w:top w:val="nil"/>
              <w:left w:val="nil"/>
              <w:bottom w:val="single" w:sz="4" w:space="0" w:color="000000"/>
              <w:right w:val="single" w:sz="4" w:space="0" w:color="000000"/>
            </w:tcBorders>
            <w:vAlign w:val="center"/>
          </w:tcPr>
          <w:p w:rsidR="00793E57" w:rsidRPr="00D32720" w:rsidRDefault="00A2782F" w:rsidP="00A300A6">
            <w:pPr>
              <w:jc w:val="right"/>
              <w:rPr>
                <w:b/>
                <w:bCs/>
                <w:color w:val="000000"/>
              </w:rPr>
            </w:pPr>
            <w:r w:rsidRPr="00D32720">
              <w:rPr>
                <w:b/>
                <w:bCs/>
                <w:color w:val="000000"/>
              </w:rPr>
              <w:t>0,0</w:t>
            </w:r>
          </w:p>
        </w:tc>
        <w:tc>
          <w:tcPr>
            <w:tcW w:w="1334" w:type="dxa"/>
            <w:tcBorders>
              <w:top w:val="nil"/>
              <w:left w:val="nil"/>
              <w:bottom w:val="single" w:sz="4" w:space="0" w:color="000000"/>
              <w:right w:val="single" w:sz="4" w:space="0" w:color="000000"/>
            </w:tcBorders>
            <w:vAlign w:val="center"/>
          </w:tcPr>
          <w:p w:rsidR="00793E57" w:rsidRPr="00D32720" w:rsidRDefault="00A2782F" w:rsidP="00A300A6">
            <w:pPr>
              <w:jc w:val="right"/>
              <w:rPr>
                <w:b/>
                <w:bCs/>
                <w:color w:val="000000"/>
              </w:rPr>
            </w:pPr>
            <w:r w:rsidRPr="00D32720">
              <w:rPr>
                <w:b/>
                <w:bCs/>
                <w:color w:val="000000"/>
              </w:rPr>
              <w:t>8,0</w:t>
            </w:r>
          </w:p>
        </w:tc>
        <w:tc>
          <w:tcPr>
            <w:tcW w:w="1334" w:type="dxa"/>
            <w:tcBorders>
              <w:top w:val="nil"/>
              <w:left w:val="nil"/>
              <w:bottom w:val="single" w:sz="4" w:space="0" w:color="000000"/>
              <w:right w:val="single" w:sz="4" w:space="0" w:color="000000"/>
            </w:tcBorders>
            <w:vAlign w:val="center"/>
          </w:tcPr>
          <w:p w:rsidR="00793E57" w:rsidRPr="00D32720" w:rsidRDefault="00A2782F" w:rsidP="00A300A6">
            <w:pPr>
              <w:jc w:val="right"/>
              <w:rPr>
                <w:b/>
                <w:bCs/>
                <w:color w:val="000000"/>
              </w:rPr>
            </w:pPr>
            <w:r w:rsidRPr="00D32720">
              <w:rPr>
                <w:b/>
                <w:bCs/>
                <w:color w:val="000000"/>
              </w:rPr>
              <w:t>0,0</w:t>
            </w:r>
          </w:p>
        </w:tc>
        <w:tc>
          <w:tcPr>
            <w:tcW w:w="1237" w:type="dxa"/>
            <w:tcBorders>
              <w:top w:val="nil"/>
              <w:left w:val="nil"/>
              <w:bottom w:val="single" w:sz="4" w:space="0" w:color="000000"/>
              <w:right w:val="single" w:sz="4" w:space="0" w:color="000000"/>
            </w:tcBorders>
            <w:vAlign w:val="center"/>
          </w:tcPr>
          <w:p w:rsidR="00793E57" w:rsidRPr="00D32720" w:rsidRDefault="00A2782F" w:rsidP="00A300A6">
            <w:pPr>
              <w:jc w:val="right"/>
              <w:rPr>
                <w:b/>
                <w:bCs/>
                <w:color w:val="000000"/>
              </w:rPr>
            </w:pPr>
            <w:r w:rsidRPr="00D32720">
              <w:rPr>
                <w:b/>
                <w:bCs/>
                <w:color w:val="000000"/>
              </w:rPr>
              <w:t>0,0</w:t>
            </w:r>
          </w:p>
        </w:tc>
        <w:tc>
          <w:tcPr>
            <w:tcW w:w="1048" w:type="dxa"/>
            <w:tcBorders>
              <w:top w:val="nil"/>
              <w:left w:val="nil"/>
              <w:bottom w:val="single" w:sz="4" w:space="0" w:color="000000"/>
              <w:right w:val="single" w:sz="4" w:space="0" w:color="000000"/>
            </w:tcBorders>
            <w:vAlign w:val="center"/>
          </w:tcPr>
          <w:p w:rsidR="00793E57" w:rsidRPr="00D32720" w:rsidRDefault="00A2782F" w:rsidP="00A300A6">
            <w:pPr>
              <w:jc w:val="right"/>
              <w:rPr>
                <w:b/>
                <w:bCs/>
                <w:color w:val="000000"/>
              </w:rPr>
            </w:pPr>
            <w:r w:rsidRPr="00D32720">
              <w:rPr>
                <w:b/>
                <w:bCs/>
                <w:color w:val="000000"/>
              </w:rPr>
              <w:t>8,0</w:t>
            </w:r>
          </w:p>
        </w:tc>
      </w:tr>
      <w:tr w:rsidR="00793E57" w:rsidRPr="007E3287" w:rsidTr="00A300A6">
        <w:trPr>
          <w:trHeight w:val="255"/>
        </w:trPr>
        <w:tc>
          <w:tcPr>
            <w:tcW w:w="295" w:type="dxa"/>
            <w:tcBorders>
              <w:top w:val="nil"/>
              <w:left w:val="single" w:sz="4" w:space="0" w:color="auto"/>
              <w:bottom w:val="single" w:sz="4" w:space="0" w:color="auto"/>
              <w:right w:val="single" w:sz="4" w:space="0" w:color="auto"/>
            </w:tcBorders>
            <w:vAlign w:val="center"/>
          </w:tcPr>
          <w:p w:rsidR="00793E57" w:rsidRPr="007E3287" w:rsidRDefault="00793E57" w:rsidP="00A300A6">
            <w:pPr>
              <w:jc w:val="center"/>
              <w:rPr>
                <w:color w:val="000000"/>
                <w:sz w:val="16"/>
                <w:szCs w:val="16"/>
              </w:rPr>
            </w:pPr>
            <w:r w:rsidRPr="007E3287">
              <w:rPr>
                <w:color w:val="000000"/>
                <w:sz w:val="16"/>
                <w:szCs w:val="16"/>
              </w:rPr>
              <w:t>3</w:t>
            </w:r>
          </w:p>
        </w:tc>
        <w:tc>
          <w:tcPr>
            <w:tcW w:w="296" w:type="dxa"/>
            <w:tcBorders>
              <w:top w:val="nil"/>
              <w:left w:val="nil"/>
              <w:bottom w:val="single" w:sz="4" w:space="0" w:color="auto"/>
              <w:right w:val="single" w:sz="4" w:space="0" w:color="auto"/>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296" w:type="dxa"/>
            <w:tcBorders>
              <w:top w:val="nil"/>
              <w:left w:val="nil"/>
              <w:bottom w:val="single" w:sz="4" w:space="0" w:color="auto"/>
              <w:right w:val="single" w:sz="4" w:space="0" w:color="auto"/>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296" w:type="dxa"/>
            <w:tcBorders>
              <w:top w:val="nil"/>
              <w:left w:val="nil"/>
              <w:bottom w:val="single" w:sz="4" w:space="0" w:color="auto"/>
              <w:right w:val="single" w:sz="4" w:space="0" w:color="auto"/>
            </w:tcBorders>
            <w:vAlign w:val="center"/>
          </w:tcPr>
          <w:p w:rsidR="00793E57" w:rsidRPr="007E3287" w:rsidRDefault="00793E57" w:rsidP="00A300A6">
            <w:pPr>
              <w:jc w:val="center"/>
              <w:rPr>
                <w:color w:val="000000"/>
                <w:sz w:val="16"/>
                <w:szCs w:val="16"/>
              </w:rPr>
            </w:pPr>
            <w:r w:rsidRPr="007E3287">
              <w:rPr>
                <w:color w:val="000000"/>
                <w:sz w:val="16"/>
                <w:szCs w:val="16"/>
              </w:rPr>
              <w:t>3</w:t>
            </w:r>
          </w:p>
        </w:tc>
        <w:tc>
          <w:tcPr>
            <w:tcW w:w="296" w:type="dxa"/>
            <w:tcBorders>
              <w:top w:val="nil"/>
              <w:left w:val="nil"/>
              <w:bottom w:val="single" w:sz="4" w:space="0" w:color="auto"/>
              <w:right w:val="single" w:sz="4" w:space="0" w:color="auto"/>
            </w:tcBorders>
            <w:vAlign w:val="center"/>
          </w:tcPr>
          <w:p w:rsidR="00793E57" w:rsidRPr="007E3287" w:rsidRDefault="00793E57" w:rsidP="00A300A6">
            <w:pPr>
              <w:jc w:val="center"/>
              <w:rPr>
                <w:color w:val="000000"/>
                <w:sz w:val="16"/>
                <w:szCs w:val="16"/>
              </w:rPr>
            </w:pPr>
            <w:r w:rsidRPr="007E3287">
              <w:rPr>
                <w:color w:val="000000"/>
                <w:sz w:val="16"/>
                <w:szCs w:val="16"/>
              </w:rPr>
              <w:t>1</w:t>
            </w:r>
          </w:p>
        </w:tc>
        <w:tc>
          <w:tcPr>
            <w:tcW w:w="375" w:type="dxa"/>
            <w:tcBorders>
              <w:top w:val="nil"/>
              <w:left w:val="nil"/>
              <w:bottom w:val="single" w:sz="4" w:space="0" w:color="auto"/>
              <w:right w:val="single" w:sz="4" w:space="0" w:color="auto"/>
            </w:tcBorders>
            <w:vAlign w:val="center"/>
          </w:tcPr>
          <w:p w:rsidR="00793E57" w:rsidRPr="007E3287" w:rsidRDefault="00793E57" w:rsidP="00A300A6">
            <w:pPr>
              <w:jc w:val="center"/>
              <w:rPr>
                <w:color w:val="000000"/>
                <w:sz w:val="16"/>
                <w:szCs w:val="16"/>
              </w:rPr>
            </w:pPr>
            <w:r w:rsidRPr="007E3287">
              <w:rPr>
                <w:color w:val="000000"/>
                <w:sz w:val="16"/>
                <w:szCs w:val="16"/>
              </w:rPr>
              <w:t>2</w:t>
            </w:r>
          </w:p>
        </w:tc>
        <w:tc>
          <w:tcPr>
            <w:tcW w:w="1890" w:type="dxa"/>
            <w:tcBorders>
              <w:top w:val="nil"/>
              <w:left w:val="nil"/>
              <w:bottom w:val="single" w:sz="4" w:space="0" w:color="auto"/>
              <w:right w:val="single" w:sz="4" w:space="0" w:color="auto"/>
            </w:tcBorders>
            <w:vAlign w:val="center"/>
          </w:tcPr>
          <w:p w:rsidR="00793E57" w:rsidRPr="007E3287" w:rsidRDefault="00793E57" w:rsidP="00A300A6">
            <w:pPr>
              <w:rPr>
                <w:color w:val="000000"/>
                <w:sz w:val="16"/>
                <w:szCs w:val="16"/>
              </w:rPr>
            </w:pPr>
            <w:r w:rsidRPr="007E3287">
              <w:rPr>
                <w:color w:val="000000"/>
                <w:sz w:val="16"/>
                <w:szCs w:val="16"/>
              </w:rPr>
              <w:t xml:space="preserve">Kitos </w:t>
            </w:r>
            <w:r>
              <w:rPr>
                <w:color w:val="000000"/>
                <w:sz w:val="16"/>
                <w:szCs w:val="16"/>
              </w:rPr>
              <w:t>pastatai  ir statiniai</w:t>
            </w:r>
          </w:p>
        </w:tc>
        <w:tc>
          <w:tcPr>
            <w:tcW w:w="1383" w:type="dxa"/>
            <w:tcBorders>
              <w:top w:val="nil"/>
              <w:left w:val="nil"/>
              <w:bottom w:val="single" w:sz="4" w:space="0" w:color="auto"/>
              <w:right w:val="single" w:sz="4" w:space="0" w:color="auto"/>
            </w:tcBorders>
            <w:vAlign w:val="center"/>
          </w:tcPr>
          <w:p w:rsidR="00793E57" w:rsidRPr="00D32720" w:rsidRDefault="00793E57" w:rsidP="00A300A6">
            <w:pPr>
              <w:jc w:val="right"/>
              <w:rPr>
                <w:color w:val="000000"/>
              </w:rPr>
            </w:pPr>
          </w:p>
        </w:tc>
        <w:tc>
          <w:tcPr>
            <w:tcW w:w="1334" w:type="dxa"/>
            <w:tcBorders>
              <w:top w:val="nil"/>
              <w:left w:val="nil"/>
              <w:bottom w:val="single" w:sz="4" w:space="0" w:color="auto"/>
              <w:right w:val="single" w:sz="4" w:space="0" w:color="auto"/>
            </w:tcBorders>
            <w:vAlign w:val="center"/>
          </w:tcPr>
          <w:p w:rsidR="00793E57" w:rsidRPr="00D32720" w:rsidRDefault="00793E57" w:rsidP="00A300A6">
            <w:pPr>
              <w:jc w:val="right"/>
              <w:rPr>
                <w:color w:val="000000"/>
              </w:rPr>
            </w:pPr>
          </w:p>
        </w:tc>
        <w:tc>
          <w:tcPr>
            <w:tcW w:w="1334" w:type="dxa"/>
            <w:tcBorders>
              <w:top w:val="nil"/>
              <w:left w:val="nil"/>
              <w:bottom w:val="single" w:sz="4" w:space="0" w:color="auto"/>
              <w:right w:val="single" w:sz="4" w:space="0" w:color="auto"/>
            </w:tcBorders>
            <w:vAlign w:val="center"/>
          </w:tcPr>
          <w:p w:rsidR="00793E57" w:rsidRPr="00D32720" w:rsidRDefault="00793E57" w:rsidP="00A300A6">
            <w:pPr>
              <w:jc w:val="right"/>
              <w:rPr>
                <w:color w:val="000000"/>
              </w:rPr>
            </w:pPr>
          </w:p>
        </w:tc>
        <w:tc>
          <w:tcPr>
            <w:tcW w:w="1237" w:type="dxa"/>
            <w:tcBorders>
              <w:top w:val="nil"/>
              <w:left w:val="nil"/>
              <w:bottom w:val="single" w:sz="4" w:space="0" w:color="auto"/>
              <w:right w:val="single" w:sz="4" w:space="0" w:color="auto"/>
            </w:tcBorders>
            <w:vAlign w:val="center"/>
          </w:tcPr>
          <w:p w:rsidR="00793E57" w:rsidRPr="00D32720" w:rsidRDefault="00793E57" w:rsidP="00A300A6">
            <w:pPr>
              <w:jc w:val="right"/>
              <w:rPr>
                <w:color w:val="000000"/>
              </w:rPr>
            </w:pPr>
          </w:p>
        </w:tc>
        <w:tc>
          <w:tcPr>
            <w:tcW w:w="1048" w:type="dxa"/>
            <w:tcBorders>
              <w:top w:val="nil"/>
              <w:left w:val="nil"/>
              <w:bottom w:val="single" w:sz="4" w:space="0" w:color="000000"/>
              <w:right w:val="single" w:sz="4" w:space="0" w:color="000000"/>
            </w:tcBorders>
            <w:vAlign w:val="center"/>
          </w:tcPr>
          <w:p w:rsidR="00793E57" w:rsidRPr="00D32720" w:rsidRDefault="00A2782F" w:rsidP="00A300A6">
            <w:pPr>
              <w:jc w:val="right"/>
              <w:rPr>
                <w:b/>
                <w:bCs/>
                <w:color w:val="000000"/>
              </w:rPr>
            </w:pPr>
            <w:r w:rsidRPr="00D32720">
              <w:rPr>
                <w:b/>
                <w:bCs/>
                <w:color w:val="000000"/>
              </w:rPr>
              <w:t>8,0</w:t>
            </w:r>
          </w:p>
        </w:tc>
      </w:tr>
      <w:tr w:rsidR="00793E57" w:rsidRPr="007E3287" w:rsidTr="00A300A6">
        <w:trPr>
          <w:trHeight w:val="255"/>
        </w:trPr>
        <w:tc>
          <w:tcPr>
            <w:tcW w:w="295" w:type="dxa"/>
            <w:tcBorders>
              <w:top w:val="nil"/>
              <w:left w:val="single" w:sz="4" w:space="0" w:color="auto"/>
              <w:bottom w:val="single" w:sz="4" w:space="0" w:color="auto"/>
              <w:right w:val="single" w:sz="4" w:space="0" w:color="auto"/>
            </w:tcBorders>
            <w:noWrap/>
            <w:vAlign w:val="bottom"/>
          </w:tcPr>
          <w:p w:rsidR="00793E57" w:rsidRPr="007E3287" w:rsidRDefault="00793E57" w:rsidP="00A300A6">
            <w:pPr>
              <w:rPr>
                <w:rFonts w:ascii="Arial" w:hAnsi="Arial" w:cs="Arial"/>
                <w:b/>
                <w:bCs/>
                <w:sz w:val="20"/>
                <w:szCs w:val="20"/>
              </w:rPr>
            </w:pPr>
            <w:r w:rsidRPr="007E3287">
              <w:rPr>
                <w:rFonts w:ascii="Arial" w:hAnsi="Arial" w:cs="Arial"/>
                <w:b/>
                <w:bCs/>
                <w:sz w:val="20"/>
                <w:szCs w:val="20"/>
              </w:rPr>
              <w:t> </w:t>
            </w:r>
          </w:p>
        </w:tc>
        <w:tc>
          <w:tcPr>
            <w:tcW w:w="296" w:type="dxa"/>
            <w:tcBorders>
              <w:top w:val="nil"/>
              <w:left w:val="nil"/>
              <w:bottom w:val="single" w:sz="4" w:space="0" w:color="auto"/>
              <w:right w:val="single" w:sz="4" w:space="0" w:color="auto"/>
            </w:tcBorders>
            <w:noWrap/>
            <w:vAlign w:val="bottom"/>
          </w:tcPr>
          <w:p w:rsidR="00793E57" w:rsidRPr="007E3287" w:rsidRDefault="00793E57" w:rsidP="00A300A6">
            <w:pPr>
              <w:rPr>
                <w:rFonts w:ascii="Arial" w:hAnsi="Arial" w:cs="Arial"/>
                <w:b/>
                <w:bCs/>
                <w:sz w:val="16"/>
                <w:szCs w:val="16"/>
              </w:rPr>
            </w:pPr>
            <w:r w:rsidRPr="007E3287">
              <w:rPr>
                <w:rFonts w:ascii="Arial" w:hAnsi="Arial" w:cs="Arial"/>
                <w:b/>
                <w:bCs/>
                <w:sz w:val="16"/>
                <w:szCs w:val="16"/>
              </w:rPr>
              <w:t> </w:t>
            </w:r>
          </w:p>
        </w:tc>
        <w:tc>
          <w:tcPr>
            <w:tcW w:w="296" w:type="dxa"/>
            <w:tcBorders>
              <w:top w:val="nil"/>
              <w:left w:val="nil"/>
              <w:bottom w:val="single" w:sz="4" w:space="0" w:color="auto"/>
              <w:right w:val="single" w:sz="4" w:space="0" w:color="auto"/>
            </w:tcBorders>
            <w:noWrap/>
            <w:vAlign w:val="bottom"/>
          </w:tcPr>
          <w:p w:rsidR="00793E57" w:rsidRPr="007E3287" w:rsidRDefault="00793E57" w:rsidP="00A300A6">
            <w:pPr>
              <w:rPr>
                <w:rFonts w:ascii="Arial" w:hAnsi="Arial" w:cs="Arial"/>
                <w:b/>
                <w:bCs/>
                <w:sz w:val="16"/>
                <w:szCs w:val="16"/>
              </w:rPr>
            </w:pPr>
            <w:r w:rsidRPr="007E3287">
              <w:rPr>
                <w:rFonts w:ascii="Arial" w:hAnsi="Arial" w:cs="Arial"/>
                <w:b/>
                <w:bCs/>
                <w:sz w:val="16"/>
                <w:szCs w:val="16"/>
              </w:rPr>
              <w:t> </w:t>
            </w:r>
          </w:p>
        </w:tc>
        <w:tc>
          <w:tcPr>
            <w:tcW w:w="296" w:type="dxa"/>
            <w:tcBorders>
              <w:top w:val="nil"/>
              <w:left w:val="nil"/>
              <w:bottom w:val="single" w:sz="4" w:space="0" w:color="auto"/>
              <w:right w:val="single" w:sz="4" w:space="0" w:color="auto"/>
            </w:tcBorders>
            <w:noWrap/>
            <w:vAlign w:val="bottom"/>
          </w:tcPr>
          <w:p w:rsidR="00793E57" w:rsidRPr="007E3287" w:rsidRDefault="00793E57" w:rsidP="00A300A6">
            <w:pPr>
              <w:rPr>
                <w:rFonts w:ascii="Arial" w:hAnsi="Arial" w:cs="Arial"/>
                <w:b/>
                <w:bCs/>
                <w:sz w:val="16"/>
                <w:szCs w:val="16"/>
              </w:rPr>
            </w:pPr>
            <w:r w:rsidRPr="007E3287">
              <w:rPr>
                <w:rFonts w:ascii="Arial" w:hAnsi="Arial" w:cs="Arial"/>
                <w:b/>
                <w:bCs/>
                <w:sz w:val="16"/>
                <w:szCs w:val="16"/>
              </w:rPr>
              <w:t> </w:t>
            </w:r>
          </w:p>
        </w:tc>
        <w:tc>
          <w:tcPr>
            <w:tcW w:w="296" w:type="dxa"/>
            <w:tcBorders>
              <w:top w:val="nil"/>
              <w:left w:val="nil"/>
              <w:bottom w:val="single" w:sz="4" w:space="0" w:color="auto"/>
              <w:right w:val="single" w:sz="4" w:space="0" w:color="auto"/>
            </w:tcBorders>
            <w:noWrap/>
            <w:vAlign w:val="bottom"/>
          </w:tcPr>
          <w:p w:rsidR="00793E57" w:rsidRPr="007E3287" w:rsidRDefault="00793E57" w:rsidP="00A300A6">
            <w:pPr>
              <w:rPr>
                <w:rFonts w:ascii="Arial" w:hAnsi="Arial" w:cs="Arial"/>
                <w:b/>
                <w:bCs/>
                <w:sz w:val="16"/>
                <w:szCs w:val="16"/>
              </w:rPr>
            </w:pPr>
            <w:r w:rsidRPr="007E3287">
              <w:rPr>
                <w:rFonts w:ascii="Arial" w:hAnsi="Arial" w:cs="Arial"/>
                <w:b/>
                <w:bCs/>
                <w:sz w:val="16"/>
                <w:szCs w:val="16"/>
              </w:rPr>
              <w:t> </w:t>
            </w:r>
          </w:p>
        </w:tc>
        <w:tc>
          <w:tcPr>
            <w:tcW w:w="375" w:type="dxa"/>
            <w:tcBorders>
              <w:top w:val="nil"/>
              <w:left w:val="nil"/>
              <w:bottom w:val="single" w:sz="4" w:space="0" w:color="auto"/>
              <w:right w:val="single" w:sz="4" w:space="0" w:color="auto"/>
            </w:tcBorders>
            <w:noWrap/>
            <w:vAlign w:val="bottom"/>
          </w:tcPr>
          <w:p w:rsidR="00793E57" w:rsidRPr="007E3287" w:rsidRDefault="00793E57" w:rsidP="00A300A6">
            <w:pPr>
              <w:rPr>
                <w:rFonts w:ascii="Arial" w:hAnsi="Arial" w:cs="Arial"/>
                <w:b/>
                <w:bCs/>
                <w:sz w:val="16"/>
                <w:szCs w:val="16"/>
              </w:rPr>
            </w:pPr>
            <w:r w:rsidRPr="007E3287">
              <w:rPr>
                <w:rFonts w:ascii="Arial" w:hAnsi="Arial" w:cs="Arial"/>
                <w:b/>
                <w:bCs/>
                <w:sz w:val="16"/>
                <w:szCs w:val="16"/>
              </w:rPr>
              <w:t> </w:t>
            </w:r>
          </w:p>
        </w:tc>
        <w:tc>
          <w:tcPr>
            <w:tcW w:w="1890" w:type="dxa"/>
            <w:tcBorders>
              <w:top w:val="nil"/>
              <w:left w:val="nil"/>
              <w:bottom w:val="single" w:sz="4" w:space="0" w:color="auto"/>
              <w:right w:val="single" w:sz="4" w:space="0" w:color="auto"/>
            </w:tcBorders>
            <w:noWrap/>
            <w:vAlign w:val="bottom"/>
          </w:tcPr>
          <w:p w:rsidR="00793E57" w:rsidRPr="00DF7F66" w:rsidRDefault="00793E57" w:rsidP="00A300A6">
            <w:pPr>
              <w:rPr>
                <w:b/>
                <w:bCs/>
                <w:sz w:val="16"/>
                <w:szCs w:val="16"/>
              </w:rPr>
            </w:pPr>
            <w:r w:rsidRPr="00DF7F66">
              <w:rPr>
                <w:b/>
                <w:bCs/>
                <w:sz w:val="16"/>
                <w:szCs w:val="16"/>
              </w:rPr>
              <w:t>Iš viso:</w:t>
            </w:r>
          </w:p>
        </w:tc>
        <w:tc>
          <w:tcPr>
            <w:tcW w:w="1383" w:type="dxa"/>
            <w:tcBorders>
              <w:top w:val="nil"/>
              <w:left w:val="nil"/>
              <w:bottom w:val="single" w:sz="4" w:space="0" w:color="auto"/>
              <w:right w:val="single" w:sz="4" w:space="0" w:color="auto"/>
            </w:tcBorders>
            <w:noWrap/>
            <w:vAlign w:val="bottom"/>
          </w:tcPr>
          <w:p w:rsidR="00793E57" w:rsidRPr="00D32720" w:rsidRDefault="00A2782F" w:rsidP="00A300A6">
            <w:pPr>
              <w:jc w:val="right"/>
              <w:rPr>
                <w:b/>
                <w:bCs/>
              </w:rPr>
            </w:pPr>
            <w:r w:rsidRPr="00D32720">
              <w:rPr>
                <w:b/>
                <w:bCs/>
              </w:rPr>
              <w:t>325,8</w:t>
            </w:r>
          </w:p>
        </w:tc>
        <w:tc>
          <w:tcPr>
            <w:tcW w:w="1334" w:type="dxa"/>
            <w:tcBorders>
              <w:top w:val="nil"/>
              <w:left w:val="nil"/>
              <w:bottom w:val="single" w:sz="4" w:space="0" w:color="auto"/>
              <w:right w:val="single" w:sz="4" w:space="0" w:color="auto"/>
            </w:tcBorders>
            <w:noWrap/>
            <w:vAlign w:val="bottom"/>
          </w:tcPr>
          <w:p w:rsidR="00793E57" w:rsidRPr="00D32720" w:rsidRDefault="00A2782F" w:rsidP="00A300A6">
            <w:pPr>
              <w:jc w:val="right"/>
              <w:rPr>
                <w:b/>
                <w:bCs/>
              </w:rPr>
            </w:pPr>
            <w:r w:rsidRPr="00D32720">
              <w:rPr>
                <w:b/>
                <w:bCs/>
              </w:rPr>
              <w:t>742,0</w:t>
            </w:r>
          </w:p>
        </w:tc>
        <w:tc>
          <w:tcPr>
            <w:tcW w:w="1334" w:type="dxa"/>
            <w:tcBorders>
              <w:top w:val="nil"/>
              <w:left w:val="nil"/>
              <w:bottom w:val="single" w:sz="4" w:space="0" w:color="auto"/>
              <w:right w:val="single" w:sz="4" w:space="0" w:color="auto"/>
            </w:tcBorders>
            <w:noWrap/>
            <w:vAlign w:val="bottom"/>
          </w:tcPr>
          <w:p w:rsidR="00793E57" w:rsidRPr="00D32720" w:rsidRDefault="00A2782F" w:rsidP="00A300A6">
            <w:pPr>
              <w:jc w:val="right"/>
              <w:rPr>
                <w:b/>
                <w:bCs/>
              </w:rPr>
            </w:pPr>
            <w:r w:rsidRPr="00D32720">
              <w:rPr>
                <w:b/>
                <w:bCs/>
              </w:rPr>
              <w:t>108,3</w:t>
            </w:r>
          </w:p>
        </w:tc>
        <w:tc>
          <w:tcPr>
            <w:tcW w:w="1237" w:type="dxa"/>
            <w:tcBorders>
              <w:top w:val="nil"/>
              <w:left w:val="nil"/>
              <w:bottom w:val="single" w:sz="4" w:space="0" w:color="auto"/>
              <w:right w:val="single" w:sz="4" w:space="0" w:color="auto"/>
            </w:tcBorders>
            <w:noWrap/>
            <w:vAlign w:val="bottom"/>
          </w:tcPr>
          <w:p w:rsidR="00793E57" w:rsidRPr="00D32720" w:rsidRDefault="00A2782F" w:rsidP="00A300A6">
            <w:pPr>
              <w:jc w:val="right"/>
              <w:rPr>
                <w:b/>
                <w:bCs/>
              </w:rPr>
            </w:pPr>
            <w:r w:rsidRPr="00D32720">
              <w:rPr>
                <w:b/>
                <w:bCs/>
              </w:rPr>
              <w:t>8,9</w:t>
            </w:r>
          </w:p>
        </w:tc>
        <w:tc>
          <w:tcPr>
            <w:tcW w:w="1048" w:type="dxa"/>
            <w:tcBorders>
              <w:top w:val="nil"/>
              <w:left w:val="nil"/>
              <w:bottom w:val="single" w:sz="4" w:space="0" w:color="auto"/>
              <w:right w:val="single" w:sz="4" w:space="0" w:color="auto"/>
            </w:tcBorders>
            <w:noWrap/>
            <w:vAlign w:val="bottom"/>
          </w:tcPr>
          <w:p w:rsidR="00793E57" w:rsidRPr="00D32720" w:rsidRDefault="00A2782F" w:rsidP="00A300A6">
            <w:pPr>
              <w:jc w:val="right"/>
              <w:rPr>
                <w:b/>
                <w:bCs/>
              </w:rPr>
            </w:pPr>
            <w:r w:rsidRPr="00D32720">
              <w:rPr>
                <w:b/>
                <w:bCs/>
              </w:rPr>
              <w:t>1185,0</w:t>
            </w:r>
          </w:p>
        </w:tc>
      </w:tr>
    </w:tbl>
    <w:p w:rsidR="00793E57" w:rsidRDefault="00793E57" w:rsidP="00793E57">
      <w:pPr>
        <w:pStyle w:val="Sraopastraipa"/>
        <w:numPr>
          <w:ilvl w:val="0"/>
          <w:numId w:val="2"/>
        </w:numPr>
        <w:shd w:val="clear" w:color="auto" w:fill="FFFFFF"/>
        <w:rPr>
          <w:b/>
          <w:color w:val="222222"/>
        </w:rPr>
      </w:pPr>
      <w:r w:rsidRPr="00701F35">
        <w:rPr>
          <w:b/>
          <w:color w:val="222222"/>
        </w:rPr>
        <w:t>Įstaigos tikslai, veikla ir rezultatai.</w:t>
      </w:r>
    </w:p>
    <w:p w:rsidR="00793E57" w:rsidRPr="00117978" w:rsidRDefault="00793E57" w:rsidP="00117978">
      <w:pPr>
        <w:jc w:val="both"/>
        <w:rPr>
          <w:rFonts w:asciiTheme="majorBidi" w:hAnsiTheme="majorBidi" w:cstheme="majorBidi"/>
        </w:rPr>
      </w:pPr>
      <w:r w:rsidRPr="00117978">
        <w:rPr>
          <w:rFonts w:asciiTheme="majorBidi" w:hAnsiTheme="majorBidi" w:cstheme="majorBidi"/>
        </w:rPr>
        <w:t>2017 metų veiklos programa buvo parengta, remiantis mokyklos strateginiu planu 2014-2018 metams. Buvo numatyti šie tikslai ir uždaviniai:</w:t>
      </w:r>
    </w:p>
    <w:p w:rsidR="00793E57" w:rsidRPr="00793E57" w:rsidRDefault="00793E57" w:rsidP="00793E57">
      <w:pPr>
        <w:jc w:val="both"/>
        <w:rPr>
          <w:rFonts w:asciiTheme="majorBidi" w:hAnsiTheme="majorBidi" w:cstheme="majorBidi"/>
        </w:rPr>
      </w:pPr>
      <w:r w:rsidRPr="00793E57">
        <w:rPr>
          <w:rFonts w:asciiTheme="majorBidi" w:hAnsiTheme="majorBidi" w:cstheme="majorBidi"/>
        </w:rPr>
        <w:t>Tikslas:. Siekti aukštesnės mokymosi kokybės keliant mokinių mokymosi motyvaciją ir gerinant mokymosi aplinką.</w:t>
      </w:r>
    </w:p>
    <w:p w:rsidR="00793E57" w:rsidRPr="00793E57" w:rsidRDefault="00793E57" w:rsidP="00793E57">
      <w:pPr>
        <w:jc w:val="both"/>
        <w:rPr>
          <w:rFonts w:asciiTheme="majorBidi" w:hAnsiTheme="majorBidi" w:cstheme="majorBidi"/>
        </w:rPr>
      </w:pPr>
      <w:r w:rsidRPr="00793E57">
        <w:rPr>
          <w:rFonts w:asciiTheme="majorBidi" w:hAnsiTheme="majorBidi" w:cstheme="majorBidi"/>
        </w:rPr>
        <w:t>Uždaviniai:</w:t>
      </w:r>
    </w:p>
    <w:p w:rsidR="00793E57" w:rsidRPr="00793E57" w:rsidRDefault="00793E57" w:rsidP="00793E57">
      <w:pPr>
        <w:jc w:val="both"/>
        <w:rPr>
          <w:rFonts w:asciiTheme="majorBidi" w:hAnsiTheme="majorBidi" w:cstheme="majorBidi"/>
        </w:rPr>
      </w:pPr>
      <w:r w:rsidRPr="00793E57">
        <w:rPr>
          <w:rFonts w:asciiTheme="majorBidi" w:hAnsiTheme="majorBidi" w:cstheme="majorBidi"/>
        </w:rPr>
        <w:t>Tobulinti pedagoginės bendruomenės patirtinį mokymąsi, orientuotą į mokinio mokėjimo mokytis kompetencijos pažangą.</w:t>
      </w:r>
    </w:p>
    <w:p w:rsidR="00793E57" w:rsidRPr="00793E57" w:rsidRDefault="00793E57" w:rsidP="00793E57">
      <w:pPr>
        <w:jc w:val="both"/>
        <w:rPr>
          <w:rFonts w:asciiTheme="majorBidi" w:hAnsiTheme="majorBidi" w:cstheme="majorBidi"/>
        </w:rPr>
      </w:pPr>
      <w:r w:rsidRPr="00793E57">
        <w:rPr>
          <w:rFonts w:asciiTheme="majorBidi" w:hAnsiTheme="majorBidi" w:cstheme="majorBidi"/>
        </w:rPr>
        <w:t>Aktyvinti mokymąsi be sienų, ne mokykloje, virtualioje aplinkoje, ugdydami šiuolaikiniam gyvenimui aktualias kompetencijas, stiprinant ekologinę sampratą.</w:t>
      </w:r>
    </w:p>
    <w:p w:rsidR="00793E57" w:rsidRPr="00793E57" w:rsidRDefault="00793E57" w:rsidP="00793E57">
      <w:pPr>
        <w:jc w:val="both"/>
        <w:rPr>
          <w:rFonts w:asciiTheme="majorBidi" w:hAnsiTheme="majorBidi" w:cstheme="majorBidi"/>
        </w:rPr>
      </w:pPr>
      <w:r w:rsidRPr="00793E57">
        <w:rPr>
          <w:rFonts w:asciiTheme="majorBidi" w:hAnsiTheme="majorBidi" w:cstheme="majorBidi"/>
        </w:rPr>
        <w:t>Tobulinti mokinio įsivertinimo sistemą, skatinančią atsakomybę už savo pasiekimus ir pažangą.</w:t>
      </w:r>
    </w:p>
    <w:p w:rsidR="00793E57" w:rsidRPr="00793E57" w:rsidRDefault="00793E57" w:rsidP="00793E57">
      <w:pPr>
        <w:jc w:val="both"/>
        <w:rPr>
          <w:rFonts w:asciiTheme="majorBidi" w:hAnsiTheme="majorBidi" w:cstheme="majorBidi"/>
        </w:rPr>
      </w:pPr>
      <w:r w:rsidRPr="00793E57">
        <w:rPr>
          <w:rFonts w:asciiTheme="majorBidi" w:hAnsiTheme="majorBidi" w:cstheme="majorBidi"/>
        </w:rPr>
        <w:t xml:space="preserve">Tikslas: Įgyvendinti pamatuotą, kokybišką ir lygiateisį </w:t>
      </w:r>
      <w:proofErr w:type="spellStart"/>
      <w:r w:rsidRPr="00793E57">
        <w:rPr>
          <w:rFonts w:asciiTheme="majorBidi" w:hAnsiTheme="majorBidi" w:cstheme="majorBidi"/>
        </w:rPr>
        <w:t>įtraukųjį</w:t>
      </w:r>
      <w:proofErr w:type="spellEnd"/>
      <w:r w:rsidRPr="00793E57">
        <w:rPr>
          <w:rFonts w:asciiTheme="majorBidi" w:hAnsiTheme="majorBidi" w:cstheme="majorBidi"/>
        </w:rPr>
        <w:t xml:space="preserve"> švietimą, stiprinant įvaizdį „mokykla visiems“.</w:t>
      </w:r>
    </w:p>
    <w:p w:rsidR="00793E57" w:rsidRPr="00793E57" w:rsidRDefault="00793E57" w:rsidP="00793E57">
      <w:pPr>
        <w:jc w:val="both"/>
        <w:rPr>
          <w:rFonts w:asciiTheme="majorBidi" w:hAnsiTheme="majorBidi" w:cstheme="majorBidi"/>
        </w:rPr>
      </w:pPr>
      <w:r w:rsidRPr="00793E57">
        <w:rPr>
          <w:rFonts w:asciiTheme="majorBidi" w:hAnsiTheme="majorBidi" w:cstheme="majorBidi"/>
        </w:rPr>
        <w:t xml:space="preserve">Uždaviniai: </w:t>
      </w:r>
    </w:p>
    <w:p w:rsidR="00793E57" w:rsidRPr="00793E57" w:rsidRDefault="00793E57" w:rsidP="00793E57">
      <w:pPr>
        <w:jc w:val="both"/>
        <w:rPr>
          <w:rFonts w:asciiTheme="majorBidi" w:hAnsiTheme="majorBidi" w:cstheme="majorBidi"/>
        </w:rPr>
      </w:pPr>
      <w:r w:rsidRPr="00793E57">
        <w:rPr>
          <w:rFonts w:asciiTheme="majorBidi" w:hAnsiTheme="majorBidi" w:cstheme="majorBidi"/>
        </w:rPr>
        <w:t>Plėtoti švietimo pagalbos galimybes, siekiant mokinių pasiekimų gerinimo ugdymo procese</w:t>
      </w:r>
    </w:p>
    <w:p w:rsidR="00793E57" w:rsidRPr="00793E57" w:rsidRDefault="00793E57" w:rsidP="00793E57">
      <w:pPr>
        <w:jc w:val="both"/>
        <w:rPr>
          <w:rFonts w:asciiTheme="majorBidi" w:hAnsiTheme="majorBidi" w:cstheme="majorBidi"/>
        </w:rPr>
      </w:pPr>
      <w:r w:rsidRPr="00793E57">
        <w:rPr>
          <w:rFonts w:asciiTheme="majorBidi" w:hAnsiTheme="majorBidi" w:cstheme="majorBidi"/>
        </w:rPr>
        <w:t>Plėtoti ugdymo būdų įvairovę, įvairiems mokiniams sudarant galimybę karjeros pasirengimui ir integracijai į visuomenę</w:t>
      </w:r>
    </w:p>
    <w:p w:rsidR="00793E57" w:rsidRPr="00793E57" w:rsidRDefault="00793E57" w:rsidP="00793E57">
      <w:pPr>
        <w:jc w:val="both"/>
        <w:rPr>
          <w:rFonts w:asciiTheme="majorBidi" w:hAnsiTheme="majorBidi" w:cstheme="majorBidi"/>
        </w:rPr>
      </w:pPr>
      <w:r w:rsidRPr="00793E57">
        <w:rPr>
          <w:rFonts w:asciiTheme="majorBidi" w:hAnsiTheme="majorBidi" w:cstheme="majorBidi"/>
        </w:rPr>
        <w:t>Tikslas: Besimokančios organizacijos tobulinimas.</w:t>
      </w:r>
    </w:p>
    <w:p w:rsidR="00793E57" w:rsidRPr="00793E57" w:rsidRDefault="00793E57" w:rsidP="00793E57">
      <w:pPr>
        <w:jc w:val="both"/>
        <w:rPr>
          <w:rFonts w:asciiTheme="majorBidi" w:hAnsiTheme="majorBidi" w:cstheme="majorBidi"/>
        </w:rPr>
      </w:pPr>
      <w:r w:rsidRPr="00793E57">
        <w:rPr>
          <w:rFonts w:asciiTheme="majorBidi" w:hAnsiTheme="majorBidi" w:cstheme="majorBidi"/>
        </w:rPr>
        <w:t xml:space="preserve">Uždaviniai: </w:t>
      </w:r>
    </w:p>
    <w:p w:rsidR="00793E57" w:rsidRPr="00793E57" w:rsidRDefault="00793E57" w:rsidP="00793E57">
      <w:pPr>
        <w:jc w:val="both"/>
        <w:rPr>
          <w:rFonts w:asciiTheme="majorBidi" w:hAnsiTheme="majorBidi" w:cstheme="majorBidi"/>
        </w:rPr>
      </w:pPr>
      <w:r w:rsidRPr="00793E57">
        <w:rPr>
          <w:rFonts w:asciiTheme="majorBidi" w:hAnsiTheme="majorBidi" w:cstheme="majorBidi"/>
        </w:rPr>
        <w:t xml:space="preserve">Inspiruoti mokytojų tarpusavio bendradarbiavimą, skatinant jų teigiamą </w:t>
      </w:r>
      <w:proofErr w:type="spellStart"/>
      <w:r w:rsidRPr="00793E57">
        <w:rPr>
          <w:rFonts w:asciiTheme="majorBidi" w:hAnsiTheme="majorBidi" w:cstheme="majorBidi"/>
        </w:rPr>
        <w:t>požiūrų</w:t>
      </w:r>
      <w:proofErr w:type="spellEnd"/>
      <w:r w:rsidRPr="00793E57">
        <w:rPr>
          <w:rFonts w:asciiTheme="majorBidi" w:hAnsiTheme="majorBidi" w:cstheme="majorBidi"/>
        </w:rPr>
        <w:t xml:space="preserve"> į iniciatyvas ir inovacijas.</w:t>
      </w:r>
    </w:p>
    <w:p w:rsidR="00793E57" w:rsidRPr="00793E57" w:rsidRDefault="00793E57" w:rsidP="00793E57">
      <w:pPr>
        <w:jc w:val="both"/>
        <w:rPr>
          <w:rFonts w:asciiTheme="majorBidi" w:hAnsiTheme="majorBidi" w:cstheme="majorBidi"/>
        </w:rPr>
      </w:pPr>
      <w:r w:rsidRPr="00793E57">
        <w:rPr>
          <w:rFonts w:asciiTheme="majorBidi" w:hAnsiTheme="majorBidi" w:cstheme="majorBidi"/>
        </w:rPr>
        <w:t>Skatinti bendruomenės pasidalytos lyderystės ugdymą, siekiant nuolatinės pažangos įvairiose mokyklos srityse</w:t>
      </w:r>
    </w:p>
    <w:p w:rsidR="00793E57" w:rsidRPr="00793E57" w:rsidRDefault="00793E57" w:rsidP="00793E57">
      <w:pPr>
        <w:jc w:val="both"/>
        <w:rPr>
          <w:rFonts w:asciiTheme="majorBidi" w:hAnsiTheme="majorBidi" w:cstheme="majorBidi"/>
        </w:rPr>
      </w:pPr>
      <w:r w:rsidRPr="00793E57">
        <w:rPr>
          <w:rFonts w:asciiTheme="majorBidi" w:hAnsiTheme="majorBidi" w:cstheme="majorBidi"/>
        </w:rPr>
        <w:t>Plėtojant mokyklos vadovų ir mokytojų profesines kompetencijas sėkmingam mokyklos strateginių tikslų įgyvendinimui.</w:t>
      </w:r>
    </w:p>
    <w:p w:rsidR="00793E57" w:rsidRPr="00793E57" w:rsidRDefault="00793E57" w:rsidP="00793E57">
      <w:pPr>
        <w:jc w:val="both"/>
        <w:rPr>
          <w:rFonts w:asciiTheme="majorBidi" w:hAnsiTheme="majorBidi" w:cstheme="majorBidi"/>
        </w:rPr>
      </w:pPr>
      <w:r w:rsidRPr="00793E57">
        <w:rPr>
          <w:rFonts w:asciiTheme="majorBidi" w:hAnsiTheme="majorBidi" w:cstheme="majorBidi"/>
        </w:rPr>
        <w:t>2016 m. gruodžio mėn. atlikę platųjį auditą buvo pasirinkta giliau nagrinėti  4 srities „Vadyba ir lyderystė“ 4.1.2. rodiklį „Lyderystė“.</w:t>
      </w:r>
    </w:p>
    <w:p w:rsidR="00793E57" w:rsidRPr="00793E57" w:rsidRDefault="00793E57" w:rsidP="00793E57">
      <w:pPr>
        <w:jc w:val="both"/>
        <w:rPr>
          <w:rFonts w:asciiTheme="majorBidi" w:hAnsiTheme="majorBidi" w:cstheme="majorBidi"/>
          <w:u w:val="single"/>
        </w:rPr>
      </w:pPr>
      <w:r w:rsidRPr="00793E57">
        <w:rPr>
          <w:rFonts w:asciiTheme="majorBidi" w:hAnsiTheme="majorBidi" w:cstheme="majorBidi"/>
        </w:rPr>
        <w:t xml:space="preserve">Tikslo (siekti mokymosi kokybės keliant mokinių mokymosi motyvaciją ir gerinant mokymosi aplinką) įgyvendinimas buvo atliekamas pirmiausia tobulinant pedagoginės bendruomenės patirtinį mokymąsi, orientuotą į mokinio mokėjimo mokytis kompetencijos pažangą. Pradėtas rengti aprašas „Pedagogo geroji patirtis – kokybiško ugdymo garantas“, kuriame aptartos bendrosios sąvokos ir strategijos: integruota pamoka, atvira pamoka, pamoka alternatyvioje aplinkoje, stebimų pamokų imtis, vertinimo protokolas, informacinis lapas ir kt. Dalis mokytojų vedė atviras pamokas, orientuotas į mokinių mokymąsi, susietą su gyvenimo patirtimi, bei dalijosi gerąja patirtimi, novatoriškais darbo metodais. Visus metus buvo kaupiama medžiaga mokytojų posėdžiui „Mokytojų mokymasis ugdymo gerinimui – patirtinio </w:t>
      </w:r>
      <w:proofErr w:type="spellStart"/>
      <w:r w:rsidRPr="00793E57">
        <w:rPr>
          <w:rFonts w:asciiTheme="majorBidi" w:hAnsiTheme="majorBidi" w:cstheme="majorBidi"/>
        </w:rPr>
        <w:t>mokymo(si</w:t>
      </w:r>
      <w:proofErr w:type="spellEnd"/>
      <w:r w:rsidRPr="00793E57">
        <w:rPr>
          <w:rFonts w:asciiTheme="majorBidi" w:hAnsiTheme="majorBidi" w:cstheme="majorBidi"/>
        </w:rPr>
        <w:t>) esmė“, kurio metu (2018 metų vasario mėn.) numatoma dalintis gerąja darbo patirtimi</w:t>
      </w:r>
      <w:r w:rsidRPr="00793E57">
        <w:rPr>
          <w:rFonts w:asciiTheme="majorBidi" w:hAnsiTheme="majorBidi" w:cstheme="majorBidi"/>
          <w:u w:val="single"/>
        </w:rPr>
        <w:t>, tobulės mokytojų kompetencijos.</w:t>
      </w:r>
    </w:p>
    <w:p w:rsidR="00793E57" w:rsidRPr="00793E57" w:rsidRDefault="00793E57" w:rsidP="00793E57">
      <w:pPr>
        <w:jc w:val="both"/>
        <w:rPr>
          <w:rFonts w:asciiTheme="majorBidi" w:hAnsiTheme="majorBidi" w:cstheme="majorBidi"/>
        </w:rPr>
      </w:pPr>
      <w:r w:rsidRPr="00793E57">
        <w:rPr>
          <w:rFonts w:asciiTheme="majorBidi" w:hAnsiTheme="majorBidi" w:cstheme="majorBidi"/>
        </w:rPr>
        <w:t>Aktyvindami mokymąsi be sienų, ne mokykloje, virtualioje aplinkoje, ugdydami šiuolaikiniam gyvenimui aktualias kompetencijas, stiprindami ekologinę sampratą, vis dažniau (vieną, du kartus per pusmetį) mokytojai organizuoja formalųjį ugdymą alternatyviose aplinkose: muziejuose, gamtoje, istorinėse vietose, saugomų teritorijų lankytojų centruose, įvairiose įstaigose, organizacijose ir kitose mokymuisi tinkamose erdvėse</w:t>
      </w:r>
    </w:p>
    <w:p w:rsidR="00793E57" w:rsidRPr="00793E57" w:rsidRDefault="00117978" w:rsidP="00793E57">
      <w:pPr>
        <w:jc w:val="both"/>
        <w:rPr>
          <w:rFonts w:asciiTheme="majorBidi" w:hAnsiTheme="majorBidi" w:cstheme="majorBidi"/>
        </w:rPr>
      </w:pPr>
      <w:r>
        <w:rPr>
          <w:rFonts w:asciiTheme="majorBidi" w:hAnsiTheme="majorBidi" w:cstheme="majorBidi"/>
        </w:rPr>
        <w:t>T</w:t>
      </w:r>
      <w:r w:rsidR="00793E57" w:rsidRPr="00793E57">
        <w:rPr>
          <w:rFonts w:asciiTheme="majorBidi" w:hAnsiTheme="majorBidi" w:cstheme="majorBidi"/>
        </w:rPr>
        <w:t xml:space="preserve">obulinant mokinio įsivertinimo sistemą, skatinančią atsakomybę už savo pasiekimus ir pažangą, buvo atliktas tyrimas „Dėl mokinių asmeninės pažangos stebėjimo, fiksavimo, pagalbos mokiniui teikimo tvarkos aprašo efektyvumo“. Apklausus mokinius ir mokytojus, buvo įvertintas vaiko pažangos </w:t>
      </w:r>
      <w:proofErr w:type="spellStart"/>
      <w:r w:rsidR="00793E57" w:rsidRPr="00793E57">
        <w:rPr>
          <w:rFonts w:asciiTheme="majorBidi" w:hAnsiTheme="majorBidi" w:cstheme="majorBidi"/>
        </w:rPr>
        <w:t>stebėsenos</w:t>
      </w:r>
      <w:proofErr w:type="spellEnd"/>
      <w:r w:rsidR="00793E57" w:rsidRPr="00793E57">
        <w:rPr>
          <w:rFonts w:asciiTheme="majorBidi" w:hAnsiTheme="majorBidi" w:cstheme="majorBidi"/>
        </w:rPr>
        <w:t xml:space="preserve"> fiksavimo būdų tikslingumas ir efektyvumas, tęstinumas. Klasių vadovai vieną kartą per mokslo metus organizavo susitikimą su mokiniu ir jo tėvais/globėjais bei individualiai aptarė mokinio pasiekimus, pažangą, todėl mokinys galėjo objektyviai numatyti tolimesnius mokymosi žingsnius, priėmė atsakomybę už savo pasiekimus. Mokinių tėvai/globėjai, bendraudami ir bendraudami su dalykų mokytojais, vieną kartą per mokslo metus aptarė vaiko mokymosi pasiekimus, susitarė dėl vaiko ugdymosi pažangos. O kiekvienas klasės vadovas kartą per pusmetį su mokyklos administracija ir dalykų mokytojais aptarė savo ugdytinių asmenybės brandą, individualias galimybes atitinkančius mokymosi pasiekimus ir nuolatinę ugdymosi pažangą.</w:t>
      </w:r>
    </w:p>
    <w:p w:rsidR="00793E57" w:rsidRPr="00793E57" w:rsidRDefault="00793E57" w:rsidP="00793E57">
      <w:pPr>
        <w:jc w:val="both"/>
        <w:rPr>
          <w:rFonts w:asciiTheme="majorBidi" w:hAnsiTheme="majorBidi" w:cstheme="majorBidi"/>
        </w:rPr>
      </w:pPr>
      <w:r w:rsidRPr="00793E57">
        <w:rPr>
          <w:rFonts w:asciiTheme="majorBidi" w:hAnsiTheme="majorBidi" w:cstheme="majorBidi"/>
        </w:rPr>
        <w:t xml:space="preserve"> Siekdami tikslo įgyvendinti pamatuotą, kokybišką ir lygiateisį </w:t>
      </w:r>
      <w:proofErr w:type="spellStart"/>
      <w:r w:rsidRPr="00793E57">
        <w:rPr>
          <w:rFonts w:asciiTheme="majorBidi" w:hAnsiTheme="majorBidi" w:cstheme="majorBidi"/>
        </w:rPr>
        <w:t>įtraukųjį</w:t>
      </w:r>
      <w:proofErr w:type="spellEnd"/>
      <w:r w:rsidRPr="00793E57">
        <w:rPr>
          <w:rFonts w:asciiTheme="majorBidi" w:hAnsiTheme="majorBidi" w:cstheme="majorBidi"/>
        </w:rPr>
        <w:t xml:space="preserve"> švietimą, stiprinant įvaizdį „mokykla visiems“, pedagogai plėtojo ugdymo būdų įvairovę, įvairiems mokiniams sudarė galimybę karjeros pasirengimui ir integracijai į visuomenę: organizavo neįgaliųjų paminėjimo dieną, Lietuvos mokinių su negalia piešinių parodą "Mažais žingsneliais Kalėdų link". Taip pat buvo suorganizuotos dvi sporto šventės mokyklos specialiųjų lavinamųjų klasių mokiniams ir jų tėvams. Vyko kūrybinės dirbtuvės „Velykų kiškučio kelionė“ rajono specialiųjų lavinamųjų klasių mokiniams. Dienos centras „Meleta“ bendradarbiavo su Dienos užimtumo skyriumi. Buvo suorganizuota „Meletos“ lankytojų išvyka į Dienos užimtumo skyrių. Mokiniai susipažino su dienos užimtumo skyriaus veikla, su galimybėmis tęsti ugdymąsi baigus mokyklą. Bendradarbiaudami pradinio ugdymo ir dalykų mokytojai su specialiųjų klasių mokytojais vieną kartą per metus organizavo pamokas specialiosiose klasėse. Plėtodama švietimo pagalbos galimybes, siekiant mokinių pasiekimų gerinimo ugdymo, mokyklos komanda dalyvauja respublikiniame gabių mokinių projekte, kuria mokinių akademinių gebėjimų atpažinimo ir vertinimo instrumentus bei metodines priemones, kurios padeda identifikuoti ir įvertinti vaiko gebėjimus.</w:t>
      </w:r>
    </w:p>
    <w:p w:rsidR="00793E57" w:rsidRPr="00793E57" w:rsidRDefault="00793E57" w:rsidP="00793E57">
      <w:pPr>
        <w:jc w:val="both"/>
        <w:rPr>
          <w:rFonts w:asciiTheme="majorBidi" w:hAnsiTheme="majorBidi" w:cstheme="majorBidi"/>
        </w:rPr>
      </w:pPr>
      <w:r w:rsidRPr="00793E57">
        <w:rPr>
          <w:rFonts w:asciiTheme="majorBidi" w:hAnsiTheme="majorBidi" w:cstheme="majorBidi"/>
        </w:rPr>
        <w:t xml:space="preserve">Įgyvendinant tikslą – besimokančios organizacijos tobulinimas -, skatinant bendruomenės pasidalytos lyderystės ugdymą, siekiant nuolatinės pažangos įvairiose mokyklos srityse, buvo atnaujinta mokyklos savivaldos struktūra, todėl organizuojama veikla vyksta efektyviau. Inspiruojant mokytojų tarpusavio bendradarbiavimą, skatinant jų teigiamą požiūrių į iniciatyvas ir inovacijas, direktoriaus įsakymu buvo suformuotos iniciatyvių mokyklos bendruomenės narių grupės kurios parengė priemonių planus, skirtus miesto ir mokyklos jubiliejams paminėti. Bendruomenė gausiai dalyvavo Radviliškio miesto jubiliejaus šventinėje eisenoje ir išsiskyrė susitelkimu, stiprinančiu mokyklos įvaizdį, išradingumu įgyvendinant pristatymo idėją, išmintingą </w:t>
      </w:r>
      <w:proofErr w:type="spellStart"/>
      <w:r w:rsidRPr="00793E57">
        <w:rPr>
          <w:rFonts w:asciiTheme="majorBidi" w:hAnsiTheme="majorBidi" w:cstheme="majorBidi"/>
        </w:rPr>
        <w:t>bendruomenystės</w:t>
      </w:r>
      <w:proofErr w:type="spellEnd"/>
      <w:r w:rsidRPr="00793E57">
        <w:rPr>
          <w:rFonts w:asciiTheme="majorBidi" w:hAnsiTheme="majorBidi" w:cstheme="majorBidi"/>
        </w:rPr>
        <w:t xml:space="preserve"> puoselėjimą. Net kelis mėnesius vyko pasiruošimas keturiasdešimtajam mokyklos jubiliejui. Miesto bendruomenei buvo pristatytas straipsnis „Keturi ieškojimų dešimtmečiai - siekis priimti šiuolaikinio pasaulio iššūkius ir juos nugalėti (Gražinos pagrindinė mokykla švenčia keturiasdešimtmetį)“ bei lankstinukas, išsamiai supažindinę su mokyklos istorija ir dabartimi. Iniciatyvinė grupė mokyklos bibliotekoje – informaciniame centre organizavo susitikimą „Apglėbkime vieni kitus prisiminimų skraiste“ su mokytojais senjorais. Buvę mokyklos mokiniai sugrįžo į mokyklą pasidalinti savo patirtimi, pabendrauti su mokyklos mokiniais ir vesti jiems savo sėkmės pamoką. Iniciatyvių mokytojų grupė apklausė mokyklos bendruomenę, buvusius mokytojus bei mokinius ir išryškino ypač sėkmingai dirbančius buvusius mokyklos auklėtinius, asmeniškai bendravo su kiekvienu iš jų – taip atsirado Sėkmės istorijų galerija. Pradinių klasių tėvai buvo pakviesti į nuotaikingą renginį – vakaronę. O jubiliejaus minėjimo diena prasidėjo Šventomis mišiomis parapijos bažnyčioje, vėliau vyko buvusių mokinių susitikimai su mokytojais ir buvusiais klasės draugais, atidaryta buvusių mokinių bei mokytojų kūrybos darbų paroda, vyko iškilmingas minėjimas ir koncertas Kultūros centre. Plėtojant mokyklos vadovų ir mokytojų profesines kompetencijas sėkmingam mokyklos strateginių tikslų įgyvendinimui, buvo patobulintos pedagogų savianalizės anketos, todėl mokytojai reguliariai įsivertina savo metodinę praktinę veiklą. Pedagoginė bendruomenė tikslingai dalyvauja virtualioje erdvėje vykstančiuose kvalifikacijos kėlimo kursuose. </w:t>
      </w:r>
    </w:p>
    <w:p w:rsidR="00793E57" w:rsidRPr="00117978" w:rsidRDefault="00793E57" w:rsidP="00117978">
      <w:pPr>
        <w:spacing w:after="200" w:line="276" w:lineRule="auto"/>
        <w:rPr>
          <w:rFonts w:eastAsiaTheme="minorHAnsi"/>
          <w:b/>
          <w:lang w:eastAsia="en-US"/>
        </w:rPr>
      </w:pPr>
      <w:r w:rsidRPr="00117978">
        <w:rPr>
          <w:rFonts w:eastAsiaTheme="minorHAnsi"/>
          <w:b/>
          <w:lang w:eastAsia="en-US"/>
        </w:rPr>
        <w:t>SSGG ANALIZĖ</w:t>
      </w:r>
    </w:p>
    <w:tbl>
      <w:tblPr>
        <w:tblStyle w:val="Lentelstinklelis2"/>
        <w:tblW w:w="11057" w:type="dxa"/>
        <w:tblInd w:w="-459" w:type="dxa"/>
        <w:tblLayout w:type="fixed"/>
        <w:tblLook w:val="04A0" w:firstRow="1" w:lastRow="0" w:firstColumn="1" w:lastColumn="0" w:noHBand="0" w:noVBand="1"/>
      </w:tblPr>
      <w:tblGrid>
        <w:gridCol w:w="1560"/>
        <w:gridCol w:w="2409"/>
        <w:gridCol w:w="2410"/>
        <w:gridCol w:w="2694"/>
        <w:gridCol w:w="1984"/>
      </w:tblGrid>
      <w:tr w:rsidR="00117978" w:rsidRPr="00267C29" w:rsidTr="00107626">
        <w:trPr>
          <w:trHeight w:val="478"/>
        </w:trPr>
        <w:tc>
          <w:tcPr>
            <w:tcW w:w="1560" w:type="dxa"/>
          </w:tcPr>
          <w:p w:rsidR="00793E57" w:rsidRPr="00117978" w:rsidRDefault="00793E57" w:rsidP="00A300A6">
            <w:pPr>
              <w:spacing w:line="276" w:lineRule="auto"/>
              <w:jc w:val="center"/>
              <w:rPr>
                <w:rFonts w:eastAsiaTheme="minorEastAsia"/>
                <w:b/>
                <w:sz w:val="20"/>
                <w:szCs w:val="20"/>
              </w:rPr>
            </w:pPr>
            <w:r w:rsidRPr="00117978">
              <w:rPr>
                <w:rFonts w:eastAsiaTheme="minorEastAsia"/>
                <w:b/>
                <w:sz w:val="20"/>
                <w:szCs w:val="20"/>
              </w:rPr>
              <w:t>Veiklos sritis</w:t>
            </w:r>
          </w:p>
        </w:tc>
        <w:tc>
          <w:tcPr>
            <w:tcW w:w="2409" w:type="dxa"/>
          </w:tcPr>
          <w:p w:rsidR="00793E57" w:rsidRPr="00117978" w:rsidRDefault="00793E57" w:rsidP="00A300A6">
            <w:pPr>
              <w:spacing w:line="276" w:lineRule="auto"/>
              <w:jc w:val="center"/>
              <w:rPr>
                <w:rFonts w:eastAsiaTheme="minorEastAsia"/>
                <w:b/>
                <w:sz w:val="20"/>
                <w:szCs w:val="20"/>
              </w:rPr>
            </w:pPr>
            <w:r w:rsidRPr="00117978">
              <w:rPr>
                <w:rFonts w:eastAsiaTheme="minorEastAsia"/>
                <w:b/>
                <w:sz w:val="20"/>
                <w:szCs w:val="20"/>
              </w:rPr>
              <w:t>Stipriosios pusės</w:t>
            </w:r>
          </w:p>
        </w:tc>
        <w:tc>
          <w:tcPr>
            <w:tcW w:w="2410" w:type="dxa"/>
          </w:tcPr>
          <w:p w:rsidR="00793E57" w:rsidRPr="00117978" w:rsidRDefault="00793E57" w:rsidP="00A300A6">
            <w:pPr>
              <w:spacing w:line="276" w:lineRule="auto"/>
              <w:jc w:val="center"/>
              <w:rPr>
                <w:rFonts w:eastAsiaTheme="minorEastAsia"/>
                <w:b/>
                <w:sz w:val="20"/>
                <w:szCs w:val="20"/>
              </w:rPr>
            </w:pPr>
            <w:r w:rsidRPr="00117978">
              <w:rPr>
                <w:rFonts w:eastAsiaTheme="minorEastAsia"/>
                <w:b/>
                <w:sz w:val="20"/>
                <w:szCs w:val="20"/>
              </w:rPr>
              <w:t>Silpnosios pusės</w:t>
            </w:r>
          </w:p>
        </w:tc>
        <w:tc>
          <w:tcPr>
            <w:tcW w:w="2694" w:type="dxa"/>
          </w:tcPr>
          <w:p w:rsidR="00793E57" w:rsidRPr="00117978" w:rsidRDefault="00793E57" w:rsidP="00A300A6">
            <w:pPr>
              <w:spacing w:line="276" w:lineRule="auto"/>
              <w:jc w:val="center"/>
              <w:rPr>
                <w:rFonts w:eastAsiaTheme="minorEastAsia"/>
                <w:b/>
                <w:sz w:val="20"/>
                <w:szCs w:val="20"/>
              </w:rPr>
            </w:pPr>
            <w:r w:rsidRPr="00117978">
              <w:rPr>
                <w:rFonts w:eastAsiaTheme="minorEastAsia"/>
                <w:b/>
                <w:sz w:val="20"/>
                <w:szCs w:val="20"/>
              </w:rPr>
              <w:t>Galimybės</w:t>
            </w:r>
          </w:p>
        </w:tc>
        <w:tc>
          <w:tcPr>
            <w:tcW w:w="1984" w:type="dxa"/>
          </w:tcPr>
          <w:p w:rsidR="00793E57" w:rsidRPr="00117978" w:rsidRDefault="00793E57" w:rsidP="00A300A6">
            <w:pPr>
              <w:spacing w:line="276" w:lineRule="auto"/>
              <w:jc w:val="center"/>
              <w:rPr>
                <w:rFonts w:eastAsiaTheme="minorEastAsia"/>
                <w:b/>
                <w:sz w:val="20"/>
                <w:szCs w:val="20"/>
              </w:rPr>
            </w:pPr>
            <w:r w:rsidRPr="00117978">
              <w:rPr>
                <w:rFonts w:eastAsiaTheme="minorEastAsia"/>
                <w:b/>
                <w:sz w:val="20"/>
                <w:szCs w:val="20"/>
              </w:rPr>
              <w:t>Grėsmės</w:t>
            </w:r>
          </w:p>
        </w:tc>
      </w:tr>
      <w:tr w:rsidR="00117978" w:rsidRPr="00267C29" w:rsidTr="00107626">
        <w:trPr>
          <w:trHeight w:val="3391"/>
        </w:trPr>
        <w:tc>
          <w:tcPr>
            <w:tcW w:w="1560" w:type="dxa"/>
          </w:tcPr>
          <w:p w:rsidR="00793E57" w:rsidRPr="00D32720" w:rsidRDefault="00793E57" w:rsidP="00A300A6">
            <w:pPr>
              <w:spacing w:line="276" w:lineRule="auto"/>
              <w:jc w:val="both"/>
              <w:rPr>
                <w:rFonts w:eastAsiaTheme="minorEastAsia"/>
              </w:rPr>
            </w:pPr>
            <w:r w:rsidRPr="00D32720">
              <w:rPr>
                <w:rFonts w:eastAsiaTheme="minorEastAsia"/>
              </w:rPr>
              <w:t>Rezultatai</w:t>
            </w:r>
          </w:p>
        </w:tc>
        <w:tc>
          <w:tcPr>
            <w:tcW w:w="2409" w:type="dxa"/>
          </w:tcPr>
          <w:p w:rsidR="00793E57" w:rsidRPr="00D32720" w:rsidRDefault="00793E57" w:rsidP="00D32720">
            <w:pPr>
              <w:spacing w:line="276" w:lineRule="auto"/>
              <w:rPr>
                <w:rFonts w:eastAsiaTheme="minorEastAsia"/>
              </w:rPr>
            </w:pPr>
            <w:r w:rsidRPr="00D32720">
              <w:rPr>
                <w:rFonts w:eastAsiaTheme="minorEastAsia"/>
              </w:rPr>
              <w:t xml:space="preserve">Mokykloje nuolat analizuojami apibendrinti, susumuoti atskiro </w:t>
            </w:r>
            <w:proofErr w:type="spellStart"/>
            <w:r w:rsidRPr="00D32720">
              <w:rPr>
                <w:rFonts w:eastAsiaTheme="minorEastAsia"/>
              </w:rPr>
              <w:t>ugdymo(si</w:t>
            </w:r>
            <w:proofErr w:type="spellEnd"/>
            <w:r w:rsidRPr="00D32720">
              <w:rPr>
                <w:rFonts w:eastAsiaTheme="minorEastAsia"/>
              </w:rPr>
              <w:t>) laikotarpio ar ugdymo pagal tam tikrą programą rezultatai.</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 xml:space="preserve">Daugumos mokinių </w:t>
            </w:r>
            <w:proofErr w:type="spellStart"/>
            <w:r w:rsidRPr="00D32720">
              <w:rPr>
                <w:rFonts w:eastAsiaTheme="minorEastAsia"/>
              </w:rPr>
              <w:t>ugdymo(si</w:t>
            </w:r>
            <w:proofErr w:type="spellEnd"/>
            <w:r w:rsidRPr="00D32720">
              <w:rPr>
                <w:rFonts w:eastAsiaTheme="minorEastAsia"/>
              </w:rPr>
              <w:t xml:space="preserve">) pasiekimai atitinka Bendrosiose ugdymo programose keliamus tikslus ir mokykloje besimokančių mokinių galias. </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Mokiniai pagal savo galias išmoksta naujų dalykų, įgyja kompetencijų bei gebėjimų.</w:t>
            </w:r>
          </w:p>
          <w:p w:rsidR="00793E57" w:rsidRPr="00D32720" w:rsidRDefault="00793E57" w:rsidP="00D32720">
            <w:pPr>
              <w:spacing w:line="276" w:lineRule="auto"/>
              <w:rPr>
                <w:rFonts w:eastAsiaTheme="minorEastAsia"/>
              </w:rPr>
            </w:pPr>
          </w:p>
          <w:p w:rsidR="00793E57" w:rsidRPr="00D32720" w:rsidRDefault="00793E57" w:rsidP="00A300A6">
            <w:pPr>
              <w:spacing w:line="276" w:lineRule="auto"/>
              <w:jc w:val="both"/>
              <w:rPr>
                <w:rFonts w:eastAsiaTheme="minorEastAsia"/>
              </w:rPr>
            </w:pPr>
          </w:p>
          <w:p w:rsidR="00793E57" w:rsidRPr="00D32720" w:rsidRDefault="00793E57" w:rsidP="00A300A6">
            <w:pPr>
              <w:spacing w:line="276" w:lineRule="auto"/>
              <w:jc w:val="both"/>
              <w:rPr>
                <w:rFonts w:eastAsiaTheme="minorEastAsia"/>
              </w:rPr>
            </w:pPr>
          </w:p>
          <w:p w:rsidR="00793E57" w:rsidRPr="00D32720" w:rsidRDefault="00793E57" w:rsidP="00A300A6">
            <w:pPr>
              <w:spacing w:line="276" w:lineRule="auto"/>
              <w:jc w:val="both"/>
              <w:rPr>
                <w:rFonts w:eastAsiaTheme="minorEastAsia"/>
              </w:rPr>
            </w:pPr>
          </w:p>
          <w:p w:rsidR="00793E57" w:rsidRPr="00D32720" w:rsidRDefault="00793E57" w:rsidP="00A300A6">
            <w:pPr>
              <w:spacing w:line="276" w:lineRule="auto"/>
              <w:jc w:val="both"/>
              <w:rPr>
                <w:rFonts w:eastAsiaTheme="minorEastAsia"/>
              </w:rPr>
            </w:pPr>
          </w:p>
          <w:p w:rsidR="00793E57" w:rsidRPr="00D32720" w:rsidRDefault="00793E57" w:rsidP="00A300A6">
            <w:pPr>
              <w:spacing w:line="276" w:lineRule="auto"/>
              <w:jc w:val="both"/>
              <w:rPr>
                <w:rFonts w:eastAsiaTheme="minorEastAsia"/>
              </w:rPr>
            </w:pPr>
          </w:p>
          <w:p w:rsidR="00793E57" w:rsidRPr="00D32720" w:rsidRDefault="00793E57" w:rsidP="00A300A6">
            <w:pPr>
              <w:spacing w:line="276" w:lineRule="auto"/>
              <w:jc w:val="both"/>
              <w:rPr>
                <w:rFonts w:eastAsiaTheme="minorEastAsia"/>
              </w:rPr>
            </w:pPr>
          </w:p>
        </w:tc>
        <w:tc>
          <w:tcPr>
            <w:tcW w:w="2410" w:type="dxa"/>
          </w:tcPr>
          <w:p w:rsidR="00793E57" w:rsidRPr="00D32720" w:rsidRDefault="00793E57" w:rsidP="00D32720">
            <w:pPr>
              <w:spacing w:line="276" w:lineRule="auto"/>
              <w:rPr>
                <w:rFonts w:eastAsiaTheme="minorEastAsia"/>
              </w:rPr>
            </w:pPr>
            <w:r w:rsidRPr="00D32720">
              <w:rPr>
                <w:rFonts w:eastAsiaTheme="minorEastAsia"/>
              </w:rPr>
              <w:t xml:space="preserve">Mažas dalies mokinių </w:t>
            </w:r>
            <w:proofErr w:type="spellStart"/>
            <w:r w:rsidRPr="00D32720">
              <w:rPr>
                <w:rFonts w:eastAsiaTheme="minorEastAsia"/>
              </w:rPr>
              <w:t>ugdymo(si</w:t>
            </w:r>
            <w:proofErr w:type="spellEnd"/>
            <w:r w:rsidRPr="00D32720">
              <w:rPr>
                <w:rFonts w:eastAsiaTheme="minorEastAsia"/>
              </w:rPr>
              <w:t>) sėkmingumas siekiant aukštesnių rezultatų.</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Dalies mokinių nepakankami savarankiško darbo bei įsivertinimo įgūdžiai.</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Daugėja mokinių, turinčių sveikatos sutrikimų.</w:t>
            </w:r>
          </w:p>
          <w:p w:rsidR="00793E57" w:rsidRPr="00D32720" w:rsidRDefault="00793E57" w:rsidP="00D32720">
            <w:pPr>
              <w:spacing w:line="276" w:lineRule="auto"/>
              <w:rPr>
                <w:rFonts w:eastAsiaTheme="minorEastAsia"/>
              </w:rPr>
            </w:pPr>
          </w:p>
          <w:p w:rsidR="00793E57" w:rsidRPr="00D32720" w:rsidRDefault="00793E57" w:rsidP="00A300A6">
            <w:pPr>
              <w:spacing w:line="276" w:lineRule="auto"/>
              <w:jc w:val="both"/>
              <w:rPr>
                <w:rFonts w:eastAsiaTheme="minorEastAsia"/>
              </w:rPr>
            </w:pPr>
          </w:p>
          <w:p w:rsidR="00793E57" w:rsidRPr="00D32720" w:rsidRDefault="00793E57" w:rsidP="00A300A6">
            <w:pPr>
              <w:spacing w:line="276" w:lineRule="auto"/>
              <w:jc w:val="both"/>
              <w:rPr>
                <w:rFonts w:eastAsiaTheme="minorEastAsia"/>
              </w:rPr>
            </w:pPr>
          </w:p>
          <w:p w:rsidR="00793E57" w:rsidRPr="00D32720" w:rsidRDefault="00793E57" w:rsidP="00A300A6">
            <w:pPr>
              <w:spacing w:line="276" w:lineRule="auto"/>
              <w:jc w:val="both"/>
              <w:rPr>
                <w:rFonts w:eastAsiaTheme="minorEastAsia"/>
              </w:rPr>
            </w:pPr>
          </w:p>
          <w:p w:rsidR="00793E57" w:rsidRPr="00D32720" w:rsidRDefault="00793E57" w:rsidP="00A300A6">
            <w:pPr>
              <w:spacing w:line="276" w:lineRule="auto"/>
              <w:jc w:val="both"/>
              <w:rPr>
                <w:rFonts w:eastAsiaTheme="minorEastAsia"/>
              </w:rPr>
            </w:pPr>
          </w:p>
          <w:p w:rsidR="00793E57" w:rsidRPr="00D32720" w:rsidRDefault="00793E57" w:rsidP="00A300A6">
            <w:pPr>
              <w:spacing w:line="276" w:lineRule="auto"/>
              <w:jc w:val="both"/>
              <w:rPr>
                <w:rFonts w:eastAsiaTheme="minorEastAsia"/>
              </w:rPr>
            </w:pPr>
          </w:p>
          <w:p w:rsidR="00793E57" w:rsidRPr="00D32720" w:rsidRDefault="00793E57" w:rsidP="00A300A6">
            <w:pPr>
              <w:spacing w:line="276" w:lineRule="auto"/>
              <w:jc w:val="both"/>
              <w:rPr>
                <w:rFonts w:eastAsiaTheme="minorEastAsia"/>
              </w:rPr>
            </w:pPr>
          </w:p>
          <w:p w:rsidR="00793E57" w:rsidRPr="00D32720" w:rsidRDefault="00793E57" w:rsidP="00A300A6">
            <w:pPr>
              <w:spacing w:line="276" w:lineRule="auto"/>
              <w:jc w:val="both"/>
              <w:rPr>
                <w:rFonts w:eastAsiaTheme="minorEastAsia"/>
              </w:rPr>
            </w:pPr>
          </w:p>
          <w:p w:rsidR="00793E57" w:rsidRPr="00D32720" w:rsidRDefault="00793E57" w:rsidP="00A300A6">
            <w:pPr>
              <w:spacing w:line="276" w:lineRule="auto"/>
              <w:jc w:val="both"/>
              <w:rPr>
                <w:rFonts w:eastAsiaTheme="minorEastAsia"/>
              </w:rPr>
            </w:pPr>
          </w:p>
          <w:p w:rsidR="00793E57" w:rsidRPr="00D32720" w:rsidRDefault="00793E57" w:rsidP="00A300A6">
            <w:pPr>
              <w:spacing w:line="276" w:lineRule="auto"/>
              <w:jc w:val="both"/>
              <w:rPr>
                <w:rFonts w:eastAsiaTheme="minorEastAsia"/>
              </w:rPr>
            </w:pPr>
          </w:p>
        </w:tc>
        <w:tc>
          <w:tcPr>
            <w:tcW w:w="2694" w:type="dxa"/>
          </w:tcPr>
          <w:p w:rsidR="00793E57" w:rsidRPr="00D32720" w:rsidRDefault="00793E57" w:rsidP="00D32720">
            <w:pPr>
              <w:spacing w:line="276" w:lineRule="auto"/>
              <w:rPr>
                <w:rFonts w:eastAsiaTheme="minorEastAsia"/>
              </w:rPr>
            </w:pPr>
            <w:r w:rsidRPr="00D32720">
              <w:rPr>
                <w:rFonts w:eastAsiaTheme="minorEastAsia"/>
              </w:rPr>
              <w:t>Mokymas kitose aplinkose ir ne pamokų forma, o projektine ar kitokia mokiniams patrauklia veikla keltų mokinių mokymosi motyvaciją ir didintų asmeninę pažangą.</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Galimybė taikyti papildomą individualią pagalbą silpnai besimokantiems, daug pamokų praleidusiems, atvykusiems iš kitų mokymosi įstaigų mokiniams (iš Bendrųjų ugdymo planų skiriamos valandos pamokoms-konsultacijoms).</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Individualūs susitikimai su mokiniais ir jų tėvais dėl ugdymosi  aptarimo padėtų savalaikiai išspręsti pažangumo, elgesio problemas ar paskatintų tolesnį pažangos siekį.</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Pačių mokinių įsivertinta ir suprasta pažanga skatins tolesnę mokymosi motyvaciją.</w:t>
            </w:r>
          </w:p>
          <w:p w:rsidR="00793E57" w:rsidRPr="00D32720" w:rsidRDefault="00793E57" w:rsidP="00D32720">
            <w:pPr>
              <w:spacing w:line="276" w:lineRule="auto"/>
              <w:rPr>
                <w:rFonts w:eastAsiaTheme="minorEastAsia"/>
              </w:rPr>
            </w:pPr>
          </w:p>
          <w:p w:rsidR="00793E57" w:rsidRPr="00D32720" w:rsidRDefault="00793E57" w:rsidP="00A300A6">
            <w:pPr>
              <w:spacing w:line="276" w:lineRule="auto"/>
              <w:jc w:val="both"/>
              <w:rPr>
                <w:rFonts w:eastAsiaTheme="minorEastAsia"/>
              </w:rPr>
            </w:pPr>
          </w:p>
          <w:p w:rsidR="00793E57" w:rsidRPr="00D32720" w:rsidRDefault="00793E57" w:rsidP="00A300A6">
            <w:pPr>
              <w:spacing w:line="276" w:lineRule="auto"/>
              <w:jc w:val="both"/>
              <w:rPr>
                <w:rFonts w:eastAsiaTheme="minorEastAsia"/>
              </w:rPr>
            </w:pPr>
          </w:p>
        </w:tc>
        <w:tc>
          <w:tcPr>
            <w:tcW w:w="1984" w:type="dxa"/>
          </w:tcPr>
          <w:p w:rsidR="00793E57" w:rsidRPr="00D32720" w:rsidRDefault="00793E57" w:rsidP="00D32720">
            <w:pPr>
              <w:spacing w:line="276" w:lineRule="auto"/>
              <w:rPr>
                <w:rFonts w:eastAsiaTheme="minorEastAsia"/>
                <w:i/>
              </w:rPr>
            </w:pPr>
            <w:r w:rsidRPr="00D32720">
              <w:rPr>
                <w:rFonts w:eastAsiaTheme="minorEastAsia"/>
              </w:rPr>
              <w:t>Mažėja tėvų atsakomybė, didėja tėvų abejingumas vaikų mokymosi rezultatams. Didžioji atsakomybės dalis tenka pedagogams</w:t>
            </w:r>
            <w:r w:rsidRPr="00D32720">
              <w:rPr>
                <w:rFonts w:eastAsiaTheme="minorEastAsia"/>
                <w:i/>
              </w:rPr>
              <w:t>.</w:t>
            </w:r>
          </w:p>
          <w:p w:rsidR="00793E57" w:rsidRPr="00D32720" w:rsidRDefault="00793E57" w:rsidP="00D32720">
            <w:pPr>
              <w:spacing w:line="276" w:lineRule="auto"/>
              <w:rPr>
                <w:rFonts w:eastAsiaTheme="minorEastAsia"/>
                <w:i/>
              </w:rPr>
            </w:pPr>
          </w:p>
          <w:p w:rsidR="00793E57" w:rsidRPr="00D32720" w:rsidRDefault="00793E57" w:rsidP="00D32720">
            <w:pPr>
              <w:spacing w:line="276" w:lineRule="auto"/>
              <w:rPr>
                <w:rFonts w:eastAsiaTheme="minorEastAsia"/>
              </w:rPr>
            </w:pPr>
            <w:r w:rsidRPr="00D32720">
              <w:rPr>
                <w:rFonts w:eastAsiaTheme="minorEastAsia"/>
              </w:rPr>
              <w:t>Mokinių emocijų ir elgesio problemų dažnėjimas.</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Dalis mokinių nesugeba realiai įsivertinti savo  ugdymosi rezultatų.</w:t>
            </w:r>
          </w:p>
          <w:p w:rsidR="00793E57" w:rsidRPr="00D32720" w:rsidRDefault="00793E57" w:rsidP="00D32720">
            <w:pPr>
              <w:spacing w:line="276" w:lineRule="auto"/>
              <w:rPr>
                <w:rFonts w:eastAsiaTheme="minorEastAsia"/>
              </w:rPr>
            </w:pPr>
          </w:p>
        </w:tc>
      </w:tr>
      <w:tr w:rsidR="00117978" w:rsidRPr="00267C29" w:rsidTr="00107626">
        <w:trPr>
          <w:trHeight w:val="4242"/>
        </w:trPr>
        <w:tc>
          <w:tcPr>
            <w:tcW w:w="1560" w:type="dxa"/>
          </w:tcPr>
          <w:p w:rsidR="00793E57" w:rsidRPr="00D32720" w:rsidRDefault="00793E57" w:rsidP="00A300A6">
            <w:pPr>
              <w:spacing w:line="276" w:lineRule="auto"/>
              <w:jc w:val="both"/>
              <w:rPr>
                <w:rFonts w:eastAsiaTheme="minorEastAsia"/>
              </w:rPr>
            </w:pPr>
            <w:proofErr w:type="spellStart"/>
            <w:r w:rsidRPr="00D32720">
              <w:rPr>
                <w:rFonts w:eastAsiaTheme="minorEastAsia"/>
              </w:rPr>
              <w:t>Ugdymas(si</w:t>
            </w:r>
            <w:proofErr w:type="spellEnd"/>
            <w:r w:rsidRPr="00D32720">
              <w:rPr>
                <w:rFonts w:eastAsiaTheme="minorEastAsia"/>
              </w:rPr>
              <w:t>) ir mokinių patirtys</w:t>
            </w:r>
          </w:p>
        </w:tc>
        <w:tc>
          <w:tcPr>
            <w:tcW w:w="2409" w:type="dxa"/>
          </w:tcPr>
          <w:p w:rsidR="00793E57" w:rsidRPr="00D32720" w:rsidRDefault="00793E57" w:rsidP="00D32720">
            <w:pPr>
              <w:spacing w:line="276" w:lineRule="auto"/>
              <w:rPr>
                <w:rFonts w:eastAsiaTheme="minorEastAsia"/>
              </w:rPr>
            </w:pPr>
            <w:r w:rsidRPr="00D32720">
              <w:rPr>
                <w:rFonts w:eastAsiaTheme="minorEastAsia"/>
              </w:rPr>
              <w:t>Keldami ugdymo tikslus, mokytojai atsižvelgia į mokinių asmeninę, socialinę ir kultūrinę patirtį, jų gyvenimo ir mokyklos veiklos kontekstą.</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 xml:space="preserve">Mokykloje sistemingai analizuojami mokinių ugdymosi poreikiai. </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Kompetentingi ir kvalifikuoti mokytojai ir pagalbos mokiniui specialistai.</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 xml:space="preserve">Dalis mokytojų yra įvaldę integruoto mokymo modulį, kurį sėkmingai taiko mokinių </w:t>
            </w:r>
            <w:proofErr w:type="spellStart"/>
            <w:r w:rsidRPr="00D32720">
              <w:rPr>
                <w:rFonts w:eastAsiaTheme="minorEastAsia"/>
              </w:rPr>
              <w:t>mokymui(si</w:t>
            </w:r>
            <w:proofErr w:type="spellEnd"/>
            <w:r w:rsidRPr="00D32720">
              <w:rPr>
                <w:rFonts w:eastAsiaTheme="minorEastAsia"/>
              </w:rPr>
              <w:t>) mokytis – rasti, atsirinkti, įprasminti žinojimą.</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Mokykloje sėkmingai ugdosi mokiniai, turintys negalią, dalis jų integruojami į bendrojo ugdymo klases.</w:t>
            </w:r>
          </w:p>
          <w:p w:rsidR="00793E57" w:rsidRPr="00D32720" w:rsidRDefault="00793E57" w:rsidP="00D32720">
            <w:pPr>
              <w:spacing w:line="276" w:lineRule="auto"/>
              <w:rPr>
                <w:rFonts w:eastAsiaTheme="minorEastAsia"/>
              </w:rPr>
            </w:pPr>
          </w:p>
        </w:tc>
        <w:tc>
          <w:tcPr>
            <w:tcW w:w="2410" w:type="dxa"/>
          </w:tcPr>
          <w:p w:rsidR="00793E57" w:rsidRPr="00D32720" w:rsidRDefault="00793E57" w:rsidP="00D32720">
            <w:pPr>
              <w:spacing w:line="276" w:lineRule="auto"/>
              <w:rPr>
                <w:rFonts w:eastAsiaTheme="minorEastAsia"/>
              </w:rPr>
            </w:pPr>
            <w:r w:rsidRPr="00D32720">
              <w:rPr>
                <w:rFonts w:eastAsiaTheme="minorEastAsia"/>
              </w:rPr>
              <w:t>Mokytojai fragmentiškai pastebi ir ugdo mokinių gabumus bei talentus.</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Nepakankamas ugdymo proceso diferencijavimas ir individualizavimas.</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u w:val="single"/>
              </w:rPr>
            </w:pPr>
            <w:r w:rsidRPr="00D32720">
              <w:rPr>
                <w:rFonts w:eastAsiaTheme="minorEastAsia"/>
              </w:rPr>
              <w:t>Didėjant mokinių, turinčių specialiųjų poreikių, skaičiui, trūksta lėšų suformuoti naujus etatus specialistams, dirbantiems su šiais mokiniais</w:t>
            </w:r>
            <w:r w:rsidRPr="00D32720">
              <w:rPr>
                <w:rFonts w:eastAsiaTheme="minorEastAsia"/>
                <w:u w:val="single"/>
              </w:rPr>
              <w:t>.</w:t>
            </w:r>
          </w:p>
          <w:p w:rsidR="00793E57" w:rsidRPr="00D32720" w:rsidRDefault="00793E57" w:rsidP="00D32720">
            <w:pPr>
              <w:spacing w:line="276" w:lineRule="auto"/>
              <w:rPr>
                <w:rFonts w:eastAsiaTheme="minorEastAsia"/>
                <w:u w:val="single"/>
              </w:rPr>
            </w:pPr>
            <w:r w:rsidRPr="00D32720">
              <w:rPr>
                <w:rFonts w:eastAsiaTheme="minorEastAsia"/>
                <w:u w:val="single"/>
              </w:rPr>
              <w:t xml:space="preserve"> </w:t>
            </w:r>
          </w:p>
          <w:p w:rsidR="00793E57" w:rsidRPr="00D32720" w:rsidRDefault="00793E57" w:rsidP="00D32720">
            <w:pPr>
              <w:spacing w:line="276" w:lineRule="auto"/>
              <w:rPr>
                <w:rFonts w:eastAsiaTheme="minorEastAsia"/>
              </w:rPr>
            </w:pPr>
            <w:r w:rsidRPr="00D32720">
              <w:rPr>
                <w:rFonts w:eastAsiaTheme="minorEastAsia"/>
              </w:rPr>
              <w:t xml:space="preserve">Tik dalis mokytojų yra įvaldę įvairias vertinimo strategijas ir būdus, kuriuos naudoja </w:t>
            </w:r>
            <w:proofErr w:type="spellStart"/>
            <w:r w:rsidRPr="00D32720">
              <w:rPr>
                <w:rFonts w:eastAsiaTheme="minorEastAsia"/>
              </w:rPr>
              <w:t>ugdymo(si</w:t>
            </w:r>
            <w:proofErr w:type="spellEnd"/>
            <w:r w:rsidRPr="00D32720">
              <w:rPr>
                <w:rFonts w:eastAsiaTheme="minorEastAsia"/>
              </w:rPr>
              <w:t>) proceso bei daromos mokinio pažangos stebėjimui ir įvertinimui.</w:t>
            </w:r>
          </w:p>
          <w:p w:rsidR="00793E57" w:rsidRPr="00D32720" w:rsidRDefault="00793E57" w:rsidP="00D32720">
            <w:pPr>
              <w:spacing w:line="276" w:lineRule="auto"/>
              <w:rPr>
                <w:rFonts w:eastAsiaTheme="minorEastAsia"/>
              </w:rPr>
            </w:pPr>
            <w:r w:rsidRPr="00D32720">
              <w:rPr>
                <w:rFonts w:eastAsiaTheme="minorEastAsia"/>
              </w:rPr>
              <w:t>Dalis mokyklos bendruomenės narių neturi pakankamai žinių apie negalią turinčius asmenis, bendravimo, bendradarbiavimo įgūdžių.</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Nepakankamai išnaudojamas kolegialus bendradarbiavimas.</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u w:val="single"/>
              </w:rPr>
            </w:pPr>
          </w:p>
          <w:p w:rsidR="00793E57" w:rsidRPr="00D32720" w:rsidRDefault="00793E57" w:rsidP="00D32720">
            <w:pPr>
              <w:spacing w:line="276" w:lineRule="auto"/>
              <w:rPr>
                <w:rFonts w:eastAsiaTheme="minorEastAsia"/>
                <w:u w:val="single"/>
              </w:rPr>
            </w:pPr>
          </w:p>
          <w:p w:rsidR="00793E57" w:rsidRPr="00D32720" w:rsidRDefault="00793E57" w:rsidP="00D32720">
            <w:pPr>
              <w:spacing w:line="276" w:lineRule="auto"/>
              <w:rPr>
                <w:rFonts w:eastAsiaTheme="minorEastAsia"/>
                <w:u w:val="single"/>
              </w:rPr>
            </w:pPr>
          </w:p>
        </w:tc>
        <w:tc>
          <w:tcPr>
            <w:tcW w:w="2694" w:type="dxa"/>
          </w:tcPr>
          <w:p w:rsidR="00793E57" w:rsidRPr="00D32720" w:rsidRDefault="00793E57" w:rsidP="00D32720">
            <w:pPr>
              <w:spacing w:line="276" w:lineRule="auto"/>
              <w:rPr>
                <w:rFonts w:eastAsiaTheme="minorEastAsia"/>
              </w:rPr>
            </w:pPr>
            <w:r w:rsidRPr="00D32720">
              <w:rPr>
                <w:rFonts w:eastAsiaTheme="minorEastAsia"/>
              </w:rPr>
              <w:t>Dalyvavimas kolegų meistriškumo klasėse, autoriniuose seminaruose, kvalifikacijos kėlimo kursuose, stebėtų pamokų aptarimas su kuruojančiais vadovais suteiktų žinių apie šiuolaikinę pamoką ir tobulintų mokytojų pamokinės veiklos organizavimo kompetencijas.</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Atliekami tyrimai, diagnostinio vertinimo rezultatai sudarytų galimybę laiku atpažinti individualius ugdymosi poreikius, polinkius bei galimybes.</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 xml:space="preserve">Kilus </w:t>
            </w:r>
            <w:proofErr w:type="spellStart"/>
            <w:r w:rsidRPr="00D32720">
              <w:rPr>
                <w:rFonts w:eastAsiaTheme="minorEastAsia"/>
              </w:rPr>
              <w:t>ugdymo(si</w:t>
            </w:r>
            <w:proofErr w:type="spellEnd"/>
            <w:r w:rsidRPr="00D32720">
              <w:rPr>
                <w:rFonts w:eastAsiaTheme="minorEastAsia"/>
              </w:rPr>
              <w:t>), psichologinių ar socialinių problemų bei grėsmių, mokiniai sulauktų specialistų pagalbos.</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 xml:space="preserve">Formuoti mokyklos bendruomenės teigiamą požiūrį į specialiųjų poreikių turinčius vaikus. </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SUP specialistai skleistų gerąją darbo patirtį apie specialiuosius ugdymosi poreikius turinčių mokinių ugdymo aspektus.</w:t>
            </w:r>
          </w:p>
          <w:p w:rsidR="00793E57" w:rsidRPr="00D32720" w:rsidRDefault="00793E57" w:rsidP="00D32720">
            <w:pPr>
              <w:spacing w:line="276" w:lineRule="auto"/>
              <w:rPr>
                <w:rFonts w:eastAsiaTheme="minorEastAsia"/>
              </w:rPr>
            </w:pPr>
          </w:p>
        </w:tc>
        <w:tc>
          <w:tcPr>
            <w:tcW w:w="1984" w:type="dxa"/>
          </w:tcPr>
          <w:p w:rsidR="00793E57" w:rsidRPr="00D32720" w:rsidRDefault="00793E57" w:rsidP="00D32720">
            <w:pPr>
              <w:spacing w:line="276" w:lineRule="auto"/>
              <w:rPr>
                <w:rFonts w:eastAsiaTheme="minorEastAsia"/>
              </w:rPr>
            </w:pPr>
            <w:r w:rsidRPr="00D32720">
              <w:rPr>
                <w:rFonts w:eastAsiaTheme="minorEastAsia"/>
              </w:rPr>
              <w:t>Jaučiama neigiama nepakankamo socialinio-ekonominio ugdytinių šeimų lygio įtaka.</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 xml:space="preserve">Galimi patyčių, neigiamo požiūrio atvejai į mokinius su negalia. </w:t>
            </w:r>
          </w:p>
          <w:p w:rsidR="00793E57" w:rsidRPr="00D32720" w:rsidRDefault="00793E57" w:rsidP="00D32720">
            <w:pPr>
              <w:spacing w:line="276" w:lineRule="auto"/>
              <w:rPr>
                <w:rFonts w:eastAsiaTheme="minorEastAsia"/>
              </w:rPr>
            </w:pPr>
          </w:p>
        </w:tc>
      </w:tr>
      <w:tr w:rsidR="00117978" w:rsidRPr="00267C29" w:rsidTr="00107626">
        <w:trPr>
          <w:trHeight w:val="698"/>
        </w:trPr>
        <w:tc>
          <w:tcPr>
            <w:tcW w:w="1560" w:type="dxa"/>
          </w:tcPr>
          <w:p w:rsidR="00793E57" w:rsidRPr="00D32720" w:rsidRDefault="00793E57" w:rsidP="00D32720">
            <w:pPr>
              <w:spacing w:line="276" w:lineRule="auto"/>
              <w:rPr>
                <w:rFonts w:eastAsiaTheme="minorEastAsia"/>
              </w:rPr>
            </w:pPr>
            <w:proofErr w:type="spellStart"/>
            <w:r w:rsidRPr="00D32720">
              <w:rPr>
                <w:rFonts w:eastAsiaTheme="minorEastAsia"/>
              </w:rPr>
              <w:t>Ugdymo(si</w:t>
            </w:r>
            <w:proofErr w:type="spellEnd"/>
            <w:r w:rsidRPr="00D32720">
              <w:rPr>
                <w:rFonts w:eastAsiaTheme="minorEastAsia"/>
              </w:rPr>
              <w:t>) aplinkos</w:t>
            </w:r>
          </w:p>
        </w:tc>
        <w:tc>
          <w:tcPr>
            <w:tcW w:w="2409" w:type="dxa"/>
          </w:tcPr>
          <w:p w:rsidR="00793E57" w:rsidRPr="00D32720" w:rsidRDefault="00793E57" w:rsidP="00D32720">
            <w:pPr>
              <w:spacing w:line="276" w:lineRule="auto"/>
              <w:rPr>
                <w:rFonts w:eastAsiaTheme="minorEastAsia"/>
              </w:rPr>
            </w:pPr>
            <w:r w:rsidRPr="00D32720">
              <w:rPr>
                <w:rFonts w:eastAsiaTheme="minorEastAsia"/>
              </w:rPr>
              <w:t xml:space="preserve">Įranga ir priemonės tikslingai panaudojamos </w:t>
            </w:r>
            <w:proofErr w:type="spellStart"/>
            <w:r w:rsidRPr="00D32720">
              <w:rPr>
                <w:rFonts w:eastAsiaTheme="minorEastAsia"/>
              </w:rPr>
              <w:t>ugdymo(si</w:t>
            </w:r>
            <w:proofErr w:type="spellEnd"/>
            <w:r w:rsidRPr="00D32720">
              <w:rPr>
                <w:rFonts w:eastAsiaTheme="minorEastAsia"/>
              </w:rPr>
              <w:t>) tikslams pasiekti.</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 xml:space="preserve">Turima įranga  užtikrina mokinių saugumą mokykloje ugdymo proceso metu. </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Mokykla yra strategiškai patrauklioje miesto vietoje (šalia kultūros centro, stadiono, sporto komplekso, miesto parko).</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p>
        </w:tc>
        <w:tc>
          <w:tcPr>
            <w:tcW w:w="2410" w:type="dxa"/>
          </w:tcPr>
          <w:p w:rsidR="00793E57" w:rsidRPr="00D32720" w:rsidRDefault="00793E57" w:rsidP="00D32720">
            <w:pPr>
              <w:spacing w:line="276" w:lineRule="auto"/>
              <w:rPr>
                <w:rFonts w:eastAsiaTheme="minorEastAsia"/>
              </w:rPr>
            </w:pPr>
            <w:r w:rsidRPr="00D32720">
              <w:rPr>
                <w:rFonts w:eastAsiaTheme="minorEastAsia"/>
              </w:rPr>
              <w:t>Ne visose metodinėse grupėse efektyviai išnaudojamos vidinės ir išorinės edukacinės aplinkos.</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 xml:space="preserve">Mokyklos aplinka iš dalies pritaikyta mokinių aktyviam </w:t>
            </w:r>
            <w:proofErr w:type="spellStart"/>
            <w:r w:rsidRPr="00D32720">
              <w:rPr>
                <w:rFonts w:eastAsiaTheme="minorEastAsia"/>
              </w:rPr>
              <w:t>ugdymui(si</w:t>
            </w:r>
            <w:proofErr w:type="spellEnd"/>
            <w:r w:rsidRPr="00D32720">
              <w:rPr>
                <w:rFonts w:eastAsiaTheme="minorEastAsia"/>
              </w:rPr>
              <w:t xml:space="preserve">), dažniausiai </w:t>
            </w:r>
            <w:proofErr w:type="spellStart"/>
            <w:r w:rsidRPr="00D32720">
              <w:rPr>
                <w:rFonts w:eastAsiaTheme="minorEastAsia"/>
              </w:rPr>
              <w:t>mokymas(is</w:t>
            </w:r>
            <w:proofErr w:type="spellEnd"/>
            <w:r w:rsidRPr="00D32720">
              <w:rPr>
                <w:rFonts w:eastAsiaTheme="minorEastAsia"/>
              </w:rPr>
              <w:t xml:space="preserve">) vyksta mokykloje. </w:t>
            </w:r>
          </w:p>
          <w:p w:rsidR="00793E57" w:rsidRPr="00D32720" w:rsidRDefault="00793E57" w:rsidP="00D32720">
            <w:pPr>
              <w:spacing w:line="276" w:lineRule="auto"/>
              <w:rPr>
                <w:rFonts w:eastAsiaTheme="minorEastAsia"/>
                <w:u w:val="single"/>
              </w:rPr>
            </w:pPr>
          </w:p>
          <w:p w:rsidR="00793E57" w:rsidRPr="00D32720" w:rsidRDefault="00793E57" w:rsidP="00D32720">
            <w:pPr>
              <w:spacing w:line="276" w:lineRule="auto"/>
              <w:rPr>
                <w:rFonts w:eastAsiaTheme="minorEastAsia"/>
              </w:rPr>
            </w:pPr>
            <w:r w:rsidRPr="00D32720">
              <w:rPr>
                <w:rFonts w:eastAsiaTheme="minorEastAsia"/>
              </w:rPr>
              <w:t xml:space="preserve">Socialiai nepalankus mokyklos mikrorajonas ir nesaugi infrastruktūra. </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Netolygus bendras IKT naudojimo lygis, edukacinių aplinkų išnaudojimas.</w:t>
            </w:r>
          </w:p>
        </w:tc>
        <w:tc>
          <w:tcPr>
            <w:tcW w:w="2694" w:type="dxa"/>
          </w:tcPr>
          <w:p w:rsidR="00793E57" w:rsidRPr="00D32720" w:rsidRDefault="00793E57" w:rsidP="00D32720">
            <w:pPr>
              <w:spacing w:line="276" w:lineRule="auto"/>
              <w:rPr>
                <w:rFonts w:eastAsiaTheme="minorEastAsia"/>
              </w:rPr>
            </w:pPr>
            <w:r w:rsidRPr="00D32720">
              <w:rPr>
                <w:rFonts w:eastAsiaTheme="minorEastAsia"/>
              </w:rPr>
              <w:t>Mokytojams sudaromos sąlygos rengti programas ir pagal jas organizuoti užsiėmimus įvairiose edukacinėse aplinkose.</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Mokytojai sudaro galimybę tobulėti mokiniams, turintiems įvairius mokymosi stilius.</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 xml:space="preserve">Mokytojai rengia ir įgyvendina integruotas dalykų programas, praktikuoja </w:t>
            </w:r>
            <w:proofErr w:type="spellStart"/>
            <w:r w:rsidRPr="00D32720">
              <w:rPr>
                <w:rFonts w:eastAsiaTheme="minorEastAsia"/>
              </w:rPr>
              <w:t>inovatyvius</w:t>
            </w:r>
            <w:proofErr w:type="spellEnd"/>
            <w:r w:rsidRPr="00D32720">
              <w:rPr>
                <w:rFonts w:eastAsiaTheme="minorEastAsia"/>
              </w:rPr>
              <w:t xml:space="preserve"> mokymo metodus, vykdo įvairią projektinę veiklą.</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Galimybė tobulėti įvairius mokymosi stilius turintiems mokiniams.</w:t>
            </w:r>
          </w:p>
          <w:p w:rsidR="00793E57" w:rsidRPr="00D32720" w:rsidRDefault="00793E57" w:rsidP="00D32720">
            <w:pPr>
              <w:spacing w:line="276" w:lineRule="auto"/>
              <w:rPr>
                <w:rFonts w:eastAsiaTheme="minorEastAsia"/>
              </w:rPr>
            </w:pPr>
            <w:r w:rsidRPr="00D32720">
              <w:rPr>
                <w:rFonts w:eastAsiaTheme="minorEastAsia"/>
              </w:rPr>
              <w:t>Stiprėja mokinių mokymosi motyvacija.</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Sutvarkyti elektroninį patekimą į mokyklos pastatą</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p>
        </w:tc>
        <w:tc>
          <w:tcPr>
            <w:tcW w:w="1984" w:type="dxa"/>
          </w:tcPr>
          <w:p w:rsidR="00793E57" w:rsidRPr="00D32720" w:rsidRDefault="00793E57" w:rsidP="00D32720">
            <w:pPr>
              <w:spacing w:line="276" w:lineRule="auto"/>
              <w:rPr>
                <w:rFonts w:eastAsiaTheme="minorEastAsia"/>
              </w:rPr>
            </w:pPr>
            <w:r w:rsidRPr="00D32720">
              <w:rPr>
                <w:rFonts w:eastAsiaTheme="minorEastAsia"/>
              </w:rPr>
              <w:t xml:space="preserve">Trūkstant MK lėšų tik iš dalies įgyvendinamos mokiniams skirtos pažintinės edukacinės programos, kurias organizuoja netradicinėse aplinkose įsikūrusios institucijos. </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Nesaugi aplinka silpnina mokyklos įvaizdį.</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Mažėja mokytojų motyvacija.</w:t>
            </w:r>
          </w:p>
        </w:tc>
      </w:tr>
      <w:tr w:rsidR="00117978" w:rsidRPr="00267C29" w:rsidTr="00107626">
        <w:trPr>
          <w:trHeight w:val="4727"/>
        </w:trPr>
        <w:tc>
          <w:tcPr>
            <w:tcW w:w="1560" w:type="dxa"/>
          </w:tcPr>
          <w:p w:rsidR="00793E57" w:rsidRPr="00D32720" w:rsidRDefault="00793E57" w:rsidP="00D32720">
            <w:pPr>
              <w:spacing w:line="276" w:lineRule="auto"/>
              <w:rPr>
                <w:rFonts w:eastAsiaTheme="minorEastAsia"/>
              </w:rPr>
            </w:pPr>
            <w:r w:rsidRPr="00D32720">
              <w:rPr>
                <w:rFonts w:eastAsiaTheme="minorEastAsia"/>
              </w:rPr>
              <w:t>Lyderystė ir vadyba</w:t>
            </w:r>
          </w:p>
        </w:tc>
        <w:tc>
          <w:tcPr>
            <w:tcW w:w="2409" w:type="dxa"/>
          </w:tcPr>
          <w:p w:rsidR="00793E57" w:rsidRPr="00D32720" w:rsidRDefault="00793E57" w:rsidP="00D32720">
            <w:pPr>
              <w:spacing w:line="276" w:lineRule="auto"/>
              <w:rPr>
                <w:rFonts w:eastAsiaTheme="minorEastAsia"/>
              </w:rPr>
            </w:pPr>
            <w:r w:rsidRPr="00D32720">
              <w:rPr>
                <w:rFonts w:eastAsiaTheme="minorEastAsia"/>
              </w:rPr>
              <w:t>Pedagogai vertina savo veiklą ir jos rezultatus, asmeninės kompetencijos ribas ir planuoja būtinas profesinio tobulėjimo sritis.</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Mokytojai ir mokyklos administracija mokosi pasinaudodami įvairiomis galimybėmis: virtualūs seminarai, metodinė diena, konferencijos, mokyklos psichologės seminarai ir kt.</w:t>
            </w:r>
          </w:p>
          <w:p w:rsidR="00793E57" w:rsidRPr="00D32720" w:rsidRDefault="00793E57" w:rsidP="00D32720">
            <w:pPr>
              <w:spacing w:line="276" w:lineRule="auto"/>
              <w:rPr>
                <w:rFonts w:eastAsiaTheme="minorEastAsia"/>
                <w:b/>
              </w:rPr>
            </w:pPr>
          </w:p>
          <w:p w:rsidR="00793E57" w:rsidRPr="00D32720" w:rsidRDefault="00793E57" w:rsidP="00D32720">
            <w:pPr>
              <w:spacing w:line="276" w:lineRule="auto"/>
              <w:rPr>
                <w:rFonts w:eastAsiaTheme="minorEastAsia"/>
              </w:rPr>
            </w:pPr>
            <w:r w:rsidRPr="00D32720">
              <w:rPr>
                <w:rFonts w:eastAsiaTheme="minorEastAsia"/>
              </w:rPr>
              <w:t>Efektyvi darbo grupių veikla.</w:t>
            </w:r>
          </w:p>
          <w:p w:rsidR="00793E57" w:rsidRPr="00D32720" w:rsidRDefault="00793E57" w:rsidP="00D32720">
            <w:pPr>
              <w:spacing w:line="276" w:lineRule="auto"/>
              <w:rPr>
                <w:rFonts w:eastAsiaTheme="minorEastAsia"/>
                <w:b/>
              </w:rPr>
            </w:pPr>
          </w:p>
          <w:p w:rsidR="00793E57" w:rsidRPr="00D32720" w:rsidRDefault="00793E57" w:rsidP="00D32720">
            <w:pPr>
              <w:spacing w:line="276" w:lineRule="auto"/>
              <w:rPr>
                <w:rFonts w:eastAsiaTheme="minorEastAsia"/>
                <w:b/>
              </w:rPr>
            </w:pPr>
            <w:r w:rsidRPr="00D32720">
              <w:rPr>
                <w:rFonts w:eastAsiaTheme="minorEastAsia"/>
              </w:rPr>
              <w:t>Strateginiai planai, veiklos programos grindžiami bendrai apmąstytu pedagoginės bendruomenės sutarimu.</w:t>
            </w:r>
          </w:p>
          <w:p w:rsidR="00793E57" w:rsidRPr="00D32720" w:rsidRDefault="00793E57" w:rsidP="00D32720">
            <w:pPr>
              <w:spacing w:line="276" w:lineRule="auto"/>
              <w:rPr>
                <w:rFonts w:eastAsiaTheme="minorEastAsia"/>
                <w:b/>
              </w:rPr>
            </w:pPr>
          </w:p>
          <w:p w:rsidR="00793E57" w:rsidRPr="00D32720" w:rsidRDefault="00793E57" w:rsidP="00D32720">
            <w:pPr>
              <w:spacing w:line="276" w:lineRule="auto"/>
              <w:rPr>
                <w:rFonts w:eastAsiaTheme="minorEastAsia"/>
                <w:b/>
              </w:rPr>
            </w:pPr>
            <w:r w:rsidRPr="00D32720">
              <w:rPr>
                <w:rFonts w:eastAsiaTheme="minorEastAsia"/>
              </w:rPr>
              <w:t>Visiems bendruomenės nariams suteikiama laisvė iniciatyvai</w:t>
            </w:r>
          </w:p>
          <w:p w:rsidR="00793E57" w:rsidRPr="00D32720" w:rsidRDefault="00793E57" w:rsidP="00D32720">
            <w:pPr>
              <w:spacing w:line="276" w:lineRule="auto"/>
              <w:rPr>
                <w:rFonts w:eastAsiaTheme="minorEastAsia"/>
                <w:b/>
              </w:rPr>
            </w:pPr>
          </w:p>
          <w:p w:rsidR="00793E57" w:rsidRPr="00D32720" w:rsidRDefault="00793E57" w:rsidP="00D32720">
            <w:pPr>
              <w:spacing w:line="276" w:lineRule="auto"/>
              <w:rPr>
                <w:rFonts w:eastAsiaTheme="minorEastAsia"/>
                <w:b/>
              </w:rPr>
            </w:pP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b/>
              </w:rPr>
            </w:pPr>
          </w:p>
        </w:tc>
        <w:tc>
          <w:tcPr>
            <w:tcW w:w="2410" w:type="dxa"/>
          </w:tcPr>
          <w:p w:rsidR="00793E57" w:rsidRPr="00D32720" w:rsidRDefault="00793E57" w:rsidP="00D32720">
            <w:pPr>
              <w:spacing w:line="276" w:lineRule="auto"/>
              <w:rPr>
                <w:rFonts w:eastAsiaTheme="minorEastAsia"/>
              </w:rPr>
            </w:pPr>
            <w:r w:rsidRPr="00D32720">
              <w:rPr>
                <w:rFonts w:eastAsiaTheme="minorEastAsia"/>
              </w:rPr>
              <w:t>Mokykloje tik iš dalies reiškiasi pasidalyta lyderystė: tik dalis bendruomenės narių pasinaudoja suteikta laisve rodyti iniciatyvą, prisiimti atsakomybę už iniciatyvas, sprendimus ir jų įgyvendinimą.</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Silpna tėvų lyderių grupės veikla.</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Nepakankamas susitarimų laikymasis.</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Dalies pedagogų nepakankamas darbiavimas su tėvais.</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Nepakankamas dalies bendruomenės narių dalyvavimas mokyklos veikloje, jos įsivertinime.</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Dalis pedagogų nepasitiki savimi, bijo prisiimti atsakomybę už iniciatyvas</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p>
        </w:tc>
        <w:tc>
          <w:tcPr>
            <w:tcW w:w="2694" w:type="dxa"/>
          </w:tcPr>
          <w:p w:rsidR="00793E57" w:rsidRPr="00D32720" w:rsidRDefault="00793E57" w:rsidP="00D32720">
            <w:pPr>
              <w:spacing w:line="276" w:lineRule="auto"/>
              <w:rPr>
                <w:rFonts w:eastAsiaTheme="minorEastAsia"/>
              </w:rPr>
            </w:pPr>
            <w:r w:rsidRPr="00D32720">
              <w:rPr>
                <w:rFonts w:eastAsiaTheme="minorEastAsia"/>
              </w:rPr>
              <w:t>Formuojant tėvų lyderių grupę, jos nariais išrinkti pilietiškai atsakingus ir iniciatyvius tėvus.</w:t>
            </w:r>
          </w:p>
          <w:p w:rsidR="00793E57" w:rsidRPr="00D32720" w:rsidRDefault="00793E57" w:rsidP="00D32720">
            <w:pPr>
              <w:spacing w:line="276" w:lineRule="auto"/>
              <w:rPr>
                <w:rFonts w:eastAsiaTheme="minorEastAsia"/>
                <w:u w:val="single"/>
              </w:rPr>
            </w:pPr>
          </w:p>
          <w:p w:rsidR="00793E57" w:rsidRPr="00D32720" w:rsidRDefault="00793E57" w:rsidP="00D32720">
            <w:pPr>
              <w:spacing w:line="276" w:lineRule="auto"/>
              <w:rPr>
                <w:rFonts w:eastAsiaTheme="minorEastAsia"/>
              </w:rPr>
            </w:pPr>
            <w:r w:rsidRPr="00D32720">
              <w:rPr>
                <w:rFonts w:eastAsiaTheme="minorEastAsia"/>
                <w:u w:val="single"/>
              </w:rPr>
              <w:t>Mokyklos administracija  skatintų mokyklos bendruomenę susitelkti veiklai ir stengtis dėl mokyklos sėkmės</w:t>
            </w:r>
            <w:r w:rsidRPr="00D32720">
              <w:rPr>
                <w:rFonts w:eastAsiaTheme="minorEastAsia"/>
              </w:rPr>
              <w:t>.</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Lyderių veikla padės telkti mokyklos bendruomenę pokyčiams.</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p>
        </w:tc>
        <w:tc>
          <w:tcPr>
            <w:tcW w:w="1984" w:type="dxa"/>
          </w:tcPr>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 xml:space="preserve">Krūvio mažėjimas dėl mažėjančio mokinių skaičiaus mokykloje skatina psichologinę – emocinę įtampą tarp mokytojų, stabdo dalijimąsi gerąja patirtimi. </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rPr>
            </w:pPr>
            <w:r w:rsidRPr="00D32720">
              <w:rPr>
                <w:rFonts w:eastAsiaTheme="minorEastAsia"/>
              </w:rPr>
              <w:t>Mokyklos psichologas nepajėgus konsultuoti bendruomenės jai svarbiais darbo etikos klausimais.</w:t>
            </w:r>
          </w:p>
          <w:p w:rsidR="00793E57" w:rsidRPr="00D32720" w:rsidRDefault="00793E57" w:rsidP="00D32720">
            <w:pPr>
              <w:spacing w:line="276" w:lineRule="auto"/>
              <w:rPr>
                <w:rFonts w:eastAsiaTheme="minorEastAsia"/>
              </w:rPr>
            </w:pPr>
          </w:p>
          <w:p w:rsidR="00793E57" w:rsidRPr="00D32720" w:rsidRDefault="00793E57" w:rsidP="00D32720">
            <w:pPr>
              <w:spacing w:line="276" w:lineRule="auto"/>
              <w:rPr>
                <w:rFonts w:eastAsiaTheme="minorEastAsia"/>
                <w:b/>
              </w:rPr>
            </w:pPr>
            <w:r w:rsidRPr="00D32720">
              <w:rPr>
                <w:rFonts w:eastAsiaTheme="minorEastAsia"/>
              </w:rPr>
              <w:t>Mažai dėmesio skiriama tėvų lyderių paieškai, šios grupės narių mokymams organizuoti bei veiklai tobulinti.</w:t>
            </w:r>
          </w:p>
        </w:tc>
      </w:tr>
    </w:tbl>
    <w:p w:rsidR="00793E57" w:rsidRPr="00793E57" w:rsidRDefault="00793E57" w:rsidP="00793E57">
      <w:pPr>
        <w:shd w:val="clear" w:color="auto" w:fill="FFFFFF"/>
        <w:rPr>
          <w:b/>
          <w:color w:val="222222"/>
        </w:rPr>
      </w:pPr>
    </w:p>
    <w:p w:rsidR="00793E57" w:rsidRDefault="00793E57" w:rsidP="00793E57">
      <w:r>
        <w:t>2. Pasiekimai ir rezultatai.</w:t>
      </w:r>
    </w:p>
    <w:p w:rsidR="00793E57" w:rsidRDefault="00D84216" w:rsidP="00D84216">
      <w:pPr>
        <w:rPr>
          <w:b/>
        </w:rPr>
      </w:pPr>
      <w:r>
        <w:rPr>
          <w:b/>
        </w:rPr>
        <w:t>2.3.</w:t>
      </w:r>
      <w:r w:rsidR="00793E57" w:rsidRPr="00BD51D5">
        <w:rPr>
          <w:b/>
        </w:rPr>
        <w:t>Pasiekimai ir rezultatai:</w:t>
      </w:r>
    </w:p>
    <w:p w:rsidR="00117978" w:rsidRPr="00117978" w:rsidRDefault="00117978" w:rsidP="00117978">
      <w:pPr>
        <w:jc w:val="both"/>
        <w:rPr>
          <w:rFonts w:asciiTheme="majorBidi" w:hAnsiTheme="majorBidi" w:cstheme="majorBidi"/>
        </w:rPr>
      </w:pPr>
      <w:r w:rsidRPr="00117978">
        <w:rPr>
          <w:rFonts w:asciiTheme="majorBidi" w:hAnsiTheme="majorBidi" w:cstheme="majorBidi"/>
        </w:rPr>
        <w:t xml:space="preserve">2017 metais 2, 4, 6, 8 klasių mokiniai dalyvavo nacionaliniame mokinių pasiekimų patikrinime (NMPP). NMPP užduotis atliko 58 antrokai (96%), 51 ketvirtokas (89,5%), 61 šeštokas (94,1%), 45 aštuntokai (98,1%). Patikrinime nedalyvavo lavinamųjų klasių mokiniai. NMPP ir klausimynų rezultatai leidžia palyginti šalies, savivaldybės ir mokyklos rezultatus. Rodikliai perskaičiuoti į standartizuotus taškus taip, kad šalies rodiklis visada lygus nuliui. Jei rodiklio reikšmė mažesnė už nulį, tai parodo, kad mokiniams sekasi prasčiau nei šalies mastu. </w:t>
      </w:r>
    </w:p>
    <w:p w:rsidR="00117978" w:rsidRPr="00117978" w:rsidRDefault="00117978" w:rsidP="00117978">
      <w:pPr>
        <w:jc w:val="both"/>
        <w:rPr>
          <w:rFonts w:asciiTheme="majorBidi" w:hAnsiTheme="majorBidi" w:cstheme="majorBidi"/>
        </w:rPr>
      </w:pPr>
      <w:r w:rsidRPr="00117978">
        <w:rPr>
          <w:rFonts w:asciiTheme="majorBidi" w:hAnsiTheme="majorBidi" w:cstheme="majorBidi"/>
        </w:rPr>
        <w:t xml:space="preserve">Analizuojant antros klasės procentinį rodiklį pagal mokomuosius dalykus (procentais), matematikos (77,7%), rašymo – teksto kūrimo - (78,8%) rašymo – kalbos sandaros pažinimo - (86,0%) rodikliai aukštesni nei Radviliškio rajono savivaldybės. </w:t>
      </w:r>
    </w:p>
    <w:p w:rsidR="00117978" w:rsidRPr="00117978" w:rsidRDefault="00117978" w:rsidP="00117978">
      <w:pPr>
        <w:jc w:val="both"/>
        <w:rPr>
          <w:rFonts w:asciiTheme="majorBidi" w:hAnsiTheme="majorBidi" w:cstheme="majorBidi"/>
        </w:rPr>
      </w:pPr>
      <w:r w:rsidRPr="00117978">
        <w:rPr>
          <w:rFonts w:asciiTheme="majorBidi" w:hAnsiTheme="majorBidi" w:cstheme="majorBidi"/>
        </w:rPr>
        <w:t xml:space="preserve">Ketvirtos klasės mokiniams geriausiai sekėsi atlikti standartizuotus pasaulio pažinimo (0,35), skaitymo (0,26), ir rašymo (0,24) testus. Mokėjimo mokytis (-0,12), mokyklos klimato (-0,04) rodikliai šiek tiek atsilieka nuo šalies vidurkio, bet šie rezultatai atitinka Radviliškio rajono savivaldybės mokinių rodiklius. </w:t>
      </w:r>
    </w:p>
    <w:p w:rsidR="00117978" w:rsidRPr="00117978" w:rsidRDefault="00117978" w:rsidP="00117978">
      <w:pPr>
        <w:jc w:val="both"/>
        <w:rPr>
          <w:rFonts w:asciiTheme="majorBidi" w:hAnsiTheme="majorBidi" w:cstheme="majorBidi"/>
        </w:rPr>
      </w:pPr>
      <w:r w:rsidRPr="00117978">
        <w:rPr>
          <w:rFonts w:asciiTheme="majorBidi" w:hAnsiTheme="majorBidi" w:cstheme="majorBidi"/>
        </w:rPr>
        <w:t xml:space="preserve">Šeštokams geriausiai sekėsi atlikti skaitymo testus (0,47), geri ir savijautos mokykloje (0,38) </w:t>
      </w:r>
      <w:proofErr w:type="spellStart"/>
      <w:r w:rsidRPr="00117978">
        <w:rPr>
          <w:rFonts w:asciiTheme="majorBidi" w:hAnsiTheme="majorBidi" w:cstheme="majorBidi"/>
        </w:rPr>
        <w:t>radikliai</w:t>
      </w:r>
      <w:proofErr w:type="spellEnd"/>
      <w:r w:rsidRPr="00117978">
        <w:rPr>
          <w:rFonts w:asciiTheme="majorBidi" w:hAnsiTheme="majorBidi" w:cstheme="majorBidi"/>
        </w:rPr>
        <w:t xml:space="preserve">. Tačiau reikėtų atkreipti dėmesį analizuojant patyčių situacijos (-0,23) rodiklį bei standartizuotus matematikos (-0,31), rašymo (-0,26) testus. Būtina paminėti, kad praėjusiais mokslo metais patyčių situacijos rodiklis buvo geresnis nei Radviliškio rajono savivaldybės mokinių rodiklis. </w:t>
      </w:r>
    </w:p>
    <w:p w:rsidR="00117978" w:rsidRPr="00117978" w:rsidRDefault="00117978" w:rsidP="00117978">
      <w:pPr>
        <w:jc w:val="both"/>
        <w:rPr>
          <w:rFonts w:asciiTheme="majorBidi" w:hAnsiTheme="majorBidi" w:cstheme="majorBidi"/>
        </w:rPr>
      </w:pPr>
      <w:r w:rsidRPr="00117978">
        <w:rPr>
          <w:rFonts w:asciiTheme="majorBidi" w:hAnsiTheme="majorBidi" w:cstheme="majorBidi"/>
        </w:rPr>
        <w:t xml:space="preserve">Geras aštuntokų savijautos mokykloje (0,38) rodiklis, o patyčių situacijos mokykloje rodiklis siekia -0,23. Nepakankamai geri matematikos (-0,31), skaitymo (-0,47) ir rašymo (-0,26) testų rezultatai. Nors matematikos, skaitymo, rašymo testų aukštesnysis lygis šiek tiek prastesnis nei šalies, bet atitinka Radviliškio rajono savivaldybės mokinių rodiklius. </w:t>
      </w:r>
    </w:p>
    <w:p w:rsidR="00117978" w:rsidRDefault="00117978" w:rsidP="00117978">
      <w:pPr>
        <w:jc w:val="both"/>
        <w:rPr>
          <w:rFonts w:asciiTheme="majorBidi" w:hAnsiTheme="majorBidi" w:cstheme="majorBidi"/>
        </w:rPr>
      </w:pPr>
      <w:r w:rsidRPr="00117978">
        <w:rPr>
          <w:rFonts w:asciiTheme="majorBidi" w:hAnsiTheme="majorBidi" w:cstheme="majorBidi"/>
        </w:rPr>
        <w:t xml:space="preserve">Atsižvelgiant į tai, kad mokykloje šių mokslo metų nacionalinio mokinių pasiekimų patikrinimo (NMPP) rezultatų analizė atskleidė, kad pastebėtas neigiamas patyčių situacijos rodiklis, tikslinga tęsti patyčių prevenciją. Klasėse tęsiama </w:t>
      </w:r>
      <w:proofErr w:type="spellStart"/>
      <w:r w:rsidRPr="00117978">
        <w:rPr>
          <w:rFonts w:asciiTheme="majorBidi" w:hAnsiTheme="majorBidi" w:cstheme="majorBidi"/>
        </w:rPr>
        <w:t>Olveus</w:t>
      </w:r>
      <w:proofErr w:type="spellEnd"/>
      <w:r w:rsidRPr="00117978">
        <w:rPr>
          <w:rFonts w:asciiTheme="majorBidi" w:hAnsiTheme="majorBidi" w:cstheme="majorBidi"/>
        </w:rPr>
        <w:t xml:space="preserve"> patyčių prevencijos programos kokybės užtikrinimo sistema (OPKUS). Taip pat mokyklos mokiniai ir jų tėveliai įtraukti į universalią prevencinę ugdymo programą „EBRU“, skirtą ugdyti emocines socialines kompetencijas per šeimos modulį. Dar ši programa ugdo šeimos emocinį intelektą, gerina tarpusavio santykius šeimoje, lavina socialinius ir bendravimo įgūdžius, įtraukia visus šeimos narius į neformalaus ugdymo procesą. Taip pat 5 klasių mokiniams įvestas lietuvių kalbos modulis, 6, 7, 8 klasių mokiniams skirtos konsultacinės valandos. Atostogų metu dalykų mokytojai organizuoja papildomas individualias konsultacijas.</w:t>
      </w:r>
    </w:p>
    <w:p w:rsidR="00117978" w:rsidRPr="00117978" w:rsidRDefault="00117978" w:rsidP="00117978">
      <w:pPr>
        <w:jc w:val="both"/>
        <w:rPr>
          <w:rFonts w:asciiTheme="majorBidi" w:hAnsiTheme="majorBidi" w:cstheme="majorBidi"/>
        </w:rPr>
      </w:pPr>
      <w:r w:rsidRPr="00117978">
        <w:rPr>
          <w:rFonts w:asciiTheme="majorBidi" w:hAnsiTheme="majorBidi" w:cstheme="majorBidi"/>
        </w:rPr>
        <w:t>2016-2017 mokslo metais dešimtoje klasėje mokėsi 21 mokinys. Visi mokiniai sėkmingai mokėsi ir baigė dešimtą klasę. PUPP atliko 18 mokinių, o 3 buvo atleisti nuo patikrinimų. Lietuvių kalbos pasiekimų patikrinimą sėkmingai atliko 17 mokinių; tik vieno mokinio įvertinimai yra neigiami. Matematikos pasiekimų patikrinimą sėkmingai atliko 16 mokinių (du neigiami įvertinimai). Tai sudaro 95,23% (lietuvių kalba) ir 90,51% (matematika) laikiusių PUPP dešimtokų. PUPP pažymiai atitinka metinius dešimtokų įvertinimus. Visiems 21 dešimtą klasę baigusiam mokiniui išduotas pagrindinio ugdymo pasiekimų pažymėjimas. Ir 21 jaunuolis, baigęs Gražinos pagrindinę mokyklą, toliau mokosi įvairiose mokymosi įstaigose.</w:t>
      </w:r>
    </w:p>
    <w:p w:rsidR="00793E57" w:rsidRDefault="00793E57" w:rsidP="00793E57">
      <w:r w:rsidRPr="00864700">
        <w:rPr>
          <w:b/>
        </w:rPr>
        <w:t>3. Įstaigos teikiamos paslaugos</w:t>
      </w:r>
      <w:r>
        <w:t>.</w:t>
      </w:r>
    </w:p>
    <w:p w:rsidR="00793E57" w:rsidRDefault="00793E57" w:rsidP="00793E57">
      <w:pPr>
        <w:jc w:val="both"/>
      </w:pPr>
      <w:r>
        <w:t>Mokykla</w:t>
      </w:r>
      <w:r w:rsidRPr="00635917">
        <w:t xml:space="preserve"> vykd</w:t>
      </w:r>
      <w:r>
        <w:t>o pradinio</w:t>
      </w:r>
      <w:r w:rsidRPr="00635917">
        <w:t xml:space="preserve">, pradinio specialiojo, </w:t>
      </w:r>
      <w:r>
        <w:t xml:space="preserve">pagrindinio ir </w:t>
      </w:r>
      <w:r w:rsidRPr="00635917">
        <w:t>pagrindinio specialiojo ugdymo programas, užtik</w:t>
      </w:r>
      <w:r>
        <w:t>rina gerą švietimo kokybę. O</w:t>
      </w:r>
      <w:r w:rsidRPr="00635917">
        <w:t>rgani</w:t>
      </w:r>
      <w:r>
        <w:t>zuoja specialiųjų poreikių</w:t>
      </w:r>
      <w:r w:rsidRPr="00635917">
        <w:t xml:space="preserve"> mokinių ugdymą, t</w:t>
      </w:r>
      <w:r>
        <w:t>eikia švietimo pagalbą mokiniams</w:t>
      </w:r>
      <w:r w:rsidRPr="00635917">
        <w:t xml:space="preserve">, turintiems </w:t>
      </w:r>
      <w:r w:rsidRPr="00150E00">
        <w:t>intelekto sutrikimų</w:t>
      </w:r>
      <w:r w:rsidRPr="00635917">
        <w:t xml:space="preserve">, tenkina individualiuosius </w:t>
      </w:r>
      <w:proofErr w:type="spellStart"/>
      <w:r w:rsidRPr="00635917">
        <w:t>ugdymo(si</w:t>
      </w:r>
      <w:proofErr w:type="spellEnd"/>
      <w:r w:rsidRPr="00635917">
        <w:t xml:space="preserve">) poreikius, siūlo ir taiko skirtingus </w:t>
      </w:r>
      <w:proofErr w:type="spellStart"/>
      <w:r w:rsidRPr="00635917">
        <w:t>ugd</w:t>
      </w:r>
      <w:r>
        <w:t>ymo(si</w:t>
      </w:r>
      <w:proofErr w:type="spellEnd"/>
      <w:r>
        <w:t xml:space="preserve">) būdus ir metodus. </w:t>
      </w:r>
    </w:p>
    <w:p w:rsidR="00793E57" w:rsidRDefault="00793E57" w:rsidP="00793E57">
      <w:pPr>
        <w:jc w:val="both"/>
      </w:pPr>
      <w:r>
        <w:t xml:space="preserve">Pedagogai kuria ir įgyvendina dalykų modulius ir pasirenkamuosius dalykus, orientuotus į </w:t>
      </w:r>
      <w:r w:rsidRPr="00635917">
        <w:t>mok</w:t>
      </w:r>
      <w:r>
        <w:t>inio</w:t>
      </w:r>
      <w:r w:rsidRPr="00635917">
        <w:t xml:space="preserve"> prigimtini</w:t>
      </w:r>
      <w:r>
        <w:t>ų galių plėtojimą, atsižvelgdami</w:t>
      </w:r>
      <w:r w:rsidRPr="00635917">
        <w:t xml:space="preserve"> į bendražmogiškųjų ir tautinių vertybių puoselėjimą, natūralią individualią psi</w:t>
      </w:r>
      <w:r>
        <w:t xml:space="preserve">chinių ir fizinių procesų raidą. </w:t>
      </w:r>
    </w:p>
    <w:p w:rsidR="00793E57" w:rsidRDefault="00793E57" w:rsidP="00793E57">
      <w:pPr>
        <w:jc w:val="both"/>
      </w:pPr>
      <w:r>
        <w:t xml:space="preserve">Yra įgyvendinamos kryptingo meninio ugdymo ir ekologinio </w:t>
      </w:r>
      <w:r w:rsidRPr="00606414">
        <w:t>ugdymo bei neformalaus mokinių švietimo programos, kuri</w:t>
      </w:r>
      <w:r>
        <w:t>ose dalyvaudami mokiniai tenkina</w:t>
      </w:r>
      <w:r w:rsidRPr="00606414">
        <w:t xml:space="preserve"> meninio, kūr</w:t>
      </w:r>
      <w:r>
        <w:t>ybinio ir aplinkosauginio</w:t>
      </w:r>
      <w:r w:rsidRPr="00606414">
        <w:t xml:space="preserve"> ugdymosi poreikius. </w:t>
      </w:r>
    </w:p>
    <w:p w:rsidR="00793E57" w:rsidRDefault="00793E57" w:rsidP="00793E57">
      <w:pPr>
        <w:jc w:val="both"/>
      </w:pPr>
      <w:r>
        <w:t xml:space="preserve">Mokykloje yra </w:t>
      </w:r>
      <w:r w:rsidRPr="00635917">
        <w:t>teikia</w:t>
      </w:r>
      <w:r>
        <w:t>ma mokiniams švietimo pagalba, socialinė parama</w:t>
      </w:r>
      <w:r w:rsidRPr="00635917">
        <w:t>, sveikatos priežiūros pasla</w:t>
      </w:r>
      <w:r>
        <w:t>ugos.</w:t>
      </w:r>
      <w:r w:rsidRPr="00EE0B15">
        <w:t xml:space="preserve"> </w:t>
      </w:r>
      <w:r>
        <w:t>Vaiko gerovės komisija koordinuoja</w:t>
      </w:r>
      <w:r w:rsidRPr="00635917">
        <w:t xml:space="preserve"> prevencinį darbą, švietimo pagalbos teikimą, švietimo pr</w:t>
      </w:r>
      <w:r>
        <w:t>ogramų individualizavimą</w:t>
      </w:r>
      <w:r w:rsidRPr="00635917">
        <w:t xml:space="preserve"> </w:t>
      </w:r>
      <w:r>
        <w:t>mokiniams</w:t>
      </w:r>
      <w:r w:rsidRPr="00635917">
        <w:t>, turintiems specialiųjų ug</w:t>
      </w:r>
      <w:r>
        <w:t>dymosi poreikių, atlieka mokinio</w:t>
      </w:r>
      <w:r w:rsidRPr="00635917">
        <w:t xml:space="preserve"> specialiųjų ugdymosi poreikių pirminį įvertinimą, padeda numatyti kritin</w:t>
      </w:r>
      <w:r>
        <w:t>es situacijas ir kitas, su</w:t>
      </w:r>
      <w:r w:rsidRPr="00635917">
        <w:t xml:space="preserve"> </w:t>
      </w:r>
      <w:r>
        <w:t>mokinio gerove susijusias, funkcijas.</w:t>
      </w:r>
    </w:p>
    <w:p w:rsidR="00793E57" w:rsidRPr="00B927EC" w:rsidRDefault="00793E57" w:rsidP="00793E57">
      <w:pPr>
        <w:jc w:val="both"/>
      </w:pPr>
      <w:r w:rsidRPr="00150E00">
        <w:t>Mokykla, organizuodama ugdymą karjerai, vadovaujasi Profesinio orientavimo vykdymo tvarkos aprašu. 9-10 klasių mokiniai supažindinami su paklausiomis profesijomis, mokyklai aktyviai</w:t>
      </w:r>
      <w:r w:rsidRPr="00B927EC">
        <w:t xml:space="preserve"> bendradarbiaujant su artimiausiomis pro</w:t>
      </w:r>
      <w:r>
        <w:t xml:space="preserve">fesinio ugdymo įstaigomis. </w:t>
      </w:r>
    </w:p>
    <w:p w:rsidR="00793E57" w:rsidRDefault="00793E57" w:rsidP="00793E57">
      <w:pPr>
        <w:jc w:val="both"/>
      </w:pPr>
      <w:r>
        <w:t>Yra įsteigta ir sėkmingai veikia prailgintos dienos grupė 1-5 klasių mokiniams, kur įvairaus amžiaus vaikai žaisdami pratinami prie knygos, lavinamas jų kūrybiškumas, mokosi bendrauti su bendraamžiais ir suaugusiais.</w:t>
      </w:r>
      <w:r w:rsidRPr="00635917">
        <w:t xml:space="preserve"> </w:t>
      </w:r>
    </w:p>
    <w:p w:rsidR="00793E57" w:rsidRDefault="00793E57" w:rsidP="00793E57">
      <w:pPr>
        <w:jc w:val="both"/>
      </w:pPr>
      <w:r w:rsidRPr="00EE0B15">
        <w:t xml:space="preserve">Atnaujintose bibliotekos-informacinio centro patalpose </w:t>
      </w:r>
      <w:r>
        <w:t>mokiniai atlieka</w:t>
      </w:r>
      <w:r w:rsidRPr="00EE0B15">
        <w:t xml:space="preserve"> in</w:t>
      </w:r>
      <w:r>
        <w:t>dividualias užduotis, mokytojai veda</w:t>
      </w:r>
      <w:r w:rsidRPr="00EE0B15">
        <w:t xml:space="preserve"> integruotas pamokas, sem</w:t>
      </w:r>
      <w:r>
        <w:t>inarus, konferencijas, vyksta</w:t>
      </w:r>
      <w:r w:rsidRPr="00EE0B15">
        <w:t xml:space="preserve"> įvairi kultūri</w:t>
      </w:r>
      <w:r>
        <w:t>nė –</w:t>
      </w:r>
      <w:proofErr w:type="spellStart"/>
      <w:r>
        <w:t>popamokinė</w:t>
      </w:r>
      <w:proofErr w:type="spellEnd"/>
      <w:r>
        <w:t xml:space="preserve"> veikla:</w:t>
      </w:r>
      <w:r w:rsidRPr="00EE0B15">
        <w:t xml:space="preserve"> kūrybinių darbų </w:t>
      </w:r>
      <w:r>
        <w:t>parodos, rašytojų ir žymių datų</w:t>
      </w:r>
      <w:r w:rsidRPr="00EE0B15">
        <w:t xml:space="preserve"> sukaktys, knygų dovanojimo akcijos, pasakų popietės, pirmosios knygelės</w:t>
      </w:r>
      <w:r>
        <w:t xml:space="preserve"> šventės. </w:t>
      </w:r>
    </w:p>
    <w:p w:rsidR="00793E57" w:rsidRDefault="00793E57" w:rsidP="00793E57">
      <w:pPr>
        <w:jc w:val="both"/>
      </w:pPr>
      <w:r>
        <w:t xml:space="preserve">Užtikrinant vaikų užimtumą atostogų metu, mokiniams yra organizuojama vasaros stovykla „Supermenai“, kurioje pedagoginė bendruomenė ir tėvų lyderių grupės atstovai planuoja ir vykdo </w:t>
      </w:r>
      <w:r w:rsidRPr="00011E24">
        <w:t>aukštos kokybės aktyvią ir kryptingą veiklą</w:t>
      </w:r>
      <w:r>
        <w:t>, mokiniams yra lavinamos</w:t>
      </w:r>
      <w:r w:rsidRPr="00011E24">
        <w:t xml:space="preserve"> komunikavimo ir s</w:t>
      </w:r>
      <w:r>
        <w:t>ocialinė</w:t>
      </w:r>
      <w:r w:rsidRPr="00011E24">
        <w:t xml:space="preserve"> kompetencij</w:t>
      </w:r>
      <w:r>
        <w:t>o</w:t>
      </w:r>
      <w:r w:rsidRPr="00011E24">
        <w:t xml:space="preserve">s, </w:t>
      </w:r>
      <w:r>
        <w:t>jie turi</w:t>
      </w:r>
      <w:r w:rsidRPr="00011E24">
        <w:t xml:space="preserve"> galimybę saviraiškai bei </w:t>
      </w:r>
      <w:proofErr w:type="spellStart"/>
      <w:r w:rsidRPr="00011E24">
        <w:t>bendru</w:t>
      </w:r>
      <w:r>
        <w:t>omenystės</w:t>
      </w:r>
      <w:proofErr w:type="spellEnd"/>
      <w:r>
        <w:t xml:space="preserve"> poreikių realizacijai.</w:t>
      </w:r>
      <w:r w:rsidRPr="00011E24">
        <w:t xml:space="preserve"> </w:t>
      </w:r>
    </w:p>
    <w:p w:rsidR="00793E57" w:rsidRDefault="00793E57" w:rsidP="00793E57">
      <w:pPr>
        <w:jc w:val="both"/>
      </w:pPr>
      <w:r>
        <w:t xml:space="preserve">Mokykloje </w:t>
      </w:r>
      <w:r w:rsidRPr="00635917">
        <w:t>organizuoja</w:t>
      </w:r>
      <w:r>
        <w:t>mas mokinių maitinimas, kurį vykdo VĮ „Kretingos maistas“.</w:t>
      </w:r>
      <w:r w:rsidRPr="00635917">
        <w:t xml:space="preserve"> </w:t>
      </w:r>
    </w:p>
    <w:p w:rsidR="00793E57" w:rsidRDefault="00793E57" w:rsidP="00793E57">
      <w:pPr>
        <w:jc w:val="both"/>
      </w:pPr>
      <w:r w:rsidRPr="00635917">
        <w:rPr>
          <w:color w:val="000000"/>
        </w:rPr>
        <w:t>Mokykla nuomoja sporto salę fiziniams ir juridiniams asmenims</w:t>
      </w:r>
      <w:r w:rsidRPr="00EE0B15">
        <w:t>. Lėšos</w:t>
      </w:r>
      <w:r>
        <w:t>,</w:t>
      </w:r>
      <w:r w:rsidRPr="00EE0B15">
        <w:t xml:space="preserve"> gautos už šias paslaugas</w:t>
      </w:r>
      <w:r>
        <w:t>,</w:t>
      </w:r>
      <w:r w:rsidRPr="00EE0B15">
        <w:t xml:space="preserve"> yra įtrauktos į mokyklos biudžeto finansavimą</w:t>
      </w:r>
      <w:r>
        <w:t>.</w:t>
      </w:r>
    </w:p>
    <w:p w:rsidR="00A0148E" w:rsidRDefault="00A0148E" w:rsidP="00793E57">
      <w:pPr>
        <w:jc w:val="both"/>
        <w:rPr>
          <w:rFonts w:asciiTheme="majorBidi" w:hAnsiTheme="majorBidi" w:cstheme="majorBidi"/>
          <w:bCs/>
        </w:rPr>
      </w:pPr>
      <w:r>
        <w:t xml:space="preserve">Mokykloje veikia dienos centras „Meleta“ neįgaliems vaikams ir jaunuoliams. Teikiama dienos </w:t>
      </w:r>
      <w:r w:rsidR="00F4696B">
        <w:t>socialinė globą asmenims</w:t>
      </w:r>
      <w:r w:rsidR="00CE5016">
        <w:t xml:space="preserve"> nuo 7 iki 21 metų amžiaus, turintiems intelekto sutrikimą ar kompleksinę negalią bei nustatytus didelius ir labai didelius specialiuosius poreikius, siekiant didesnio savarankiškumo ir didinant galimybę dalyvauti bendruomenės gyvenime.</w:t>
      </w:r>
      <w:r>
        <w:t xml:space="preserve"> </w:t>
      </w:r>
      <w:r w:rsidR="00F4696B">
        <w:t>Lankytojams sudarytos tinkamos sąlygos ugdyti socialinius, kūrybinius gebėjimus,  fizinį aktyvumą</w:t>
      </w:r>
      <w:r w:rsidR="00CE5016">
        <w:t>. Veiklos</w:t>
      </w:r>
      <w:r w:rsidR="00F4696B">
        <w:t xml:space="preserve"> </w:t>
      </w:r>
      <w:proofErr w:type="spellStart"/>
      <w:r w:rsidR="00F4696B">
        <w:t>organizuojama</w:t>
      </w:r>
      <w:r w:rsidR="00CE5016">
        <w:t>os</w:t>
      </w:r>
      <w:proofErr w:type="spellEnd"/>
      <w:r w:rsidR="00F4696B">
        <w:t xml:space="preserve"> pagal individualius lankytojų gebėjimus, palaikomi ryšiai su vietos bendruomene, formuojamas pozityvus bendruomenės požiūris į asmenis turinčius negalią.</w:t>
      </w:r>
    </w:p>
    <w:p w:rsidR="00793E57" w:rsidRDefault="00793E57" w:rsidP="00793E57">
      <w:r w:rsidRPr="00864700">
        <w:rPr>
          <w:b/>
        </w:rPr>
        <w:t>4. Vadovo indėlis, tobulinant įstaigos administravimą</w:t>
      </w:r>
      <w:r>
        <w:t>.</w:t>
      </w:r>
    </w:p>
    <w:p w:rsidR="00793E57" w:rsidRDefault="00793E57" w:rsidP="00D84216">
      <w:pPr>
        <w:jc w:val="both"/>
        <w:rPr>
          <w:rFonts w:asciiTheme="majorBidi" w:hAnsiTheme="majorBidi" w:cstheme="majorBidi"/>
          <w:bCs/>
        </w:rPr>
      </w:pPr>
      <w:r w:rsidRPr="00DF7F66">
        <w:rPr>
          <w:rFonts w:asciiTheme="majorBidi" w:hAnsiTheme="majorBidi" w:cstheme="majorBidi"/>
          <w:bCs/>
        </w:rPr>
        <w:t xml:space="preserve">Mokyklai vadovauju demokratiškai. </w:t>
      </w:r>
      <w:r w:rsidR="00D84216">
        <w:rPr>
          <w:rFonts w:asciiTheme="majorBidi" w:hAnsiTheme="majorBidi" w:cstheme="majorBidi"/>
          <w:bCs/>
        </w:rPr>
        <w:t>Veiklos, planai, programos rengiami kolegialiai, svarstomi viešai, sudaromos darbo grupės. Mokykloje sudarytos sąlygos savivaldos institucijų veiklai. Mokykloje veikia Mokyklos taryba, Mokytojų taryba, Metodinė taryba, Darbo taryba. Minėtos institucijos teikia pasiūlymus aktualiais planavimo klausimais</w:t>
      </w:r>
      <w:r w:rsidR="009E02CA">
        <w:rPr>
          <w:rFonts w:asciiTheme="majorBidi" w:hAnsiTheme="majorBidi" w:cstheme="majorBidi"/>
          <w:bCs/>
        </w:rPr>
        <w:t>, ugdymo turinio tradicijų puoselėjimo, renginių organizavimo, problemų sprendimo klausimais.</w:t>
      </w:r>
    </w:p>
    <w:p w:rsidR="009E02CA" w:rsidRDefault="009E02CA" w:rsidP="00D84216">
      <w:pPr>
        <w:jc w:val="both"/>
        <w:rPr>
          <w:rFonts w:asciiTheme="majorBidi" w:hAnsiTheme="majorBidi" w:cstheme="majorBidi"/>
          <w:bCs/>
        </w:rPr>
      </w:pPr>
      <w:r>
        <w:rPr>
          <w:rFonts w:asciiTheme="majorBidi" w:hAnsiTheme="majorBidi" w:cstheme="majorBidi"/>
          <w:bCs/>
        </w:rPr>
        <w:t>Savo asmeniniu pavyzdžiu skatinu mokytojus rūpintis tinkama kvalifikacija ir būtinomis kompetencijomis. 2017 metų kovo mėnesį dalyvavau kompetencijų įsivertinime Mokyklų tobulinimo centre.</w:t>
      </w:r>
    </w:p>
    <w:p w:rsidR="009E02CA" w:rsidRDefault="009E02CA" w:rsidP="00D84216">
      <w:pPr>
        <w:jc w:val="both"/>
        <w:rPr>
          <w:rFonts w:asciiTheme="majorBidi" w:hAnsiTheme="majorBidi" w:cstheme="majorBidi"/>
          <w:bCs/>
        </w:rPr>
      </w:pPr>
      <w:r>
        <w:rPr>
          <w:rFonts w:asciiTheme="majorBidi" w:hAnsiTheme="majorBidi" w:cstheme="majorBidi"/>
          <w:bCs/>
        </w:rPr>
        <w:t>Esu Radviliškio rajono švietimo įstaigų vadovų asociacijos pirmininkas. 2017 metais kartu su kolegomis inicijavau mokyklų vadovų įstojimą į Švietimo įstaigų vadovų profesinę sąjungą. 2017 metais inicijavau ilgosios priešmokyklinės grupės įkūrimą mokykloje</w:t>
      </w:r>
      <w:r w:rsidR="00413683">
        <w:rPr>
          <w:rFonts w:asciiTheme="majorBidi" w:hAnsiTheme="majorBidi" w:cstheme="majorBidi"/>
          <w:bCs/>
        </w:rPr>
        <w:t>, kurioje lavinami 22 vaikai.</w:t>
      </w:r>
    </w:p>
    <w:p w:rsidR="00413683" w:rsidRPr="00DF7F66" w:rsidRDefault="00413683" w:rsidP="00D84216">
      <w:pPr>
        <w:jc w:val="both"/>
        <w:rPr>
          <w:rFonts w:asciiTheme="majorBidi" w:hAnsiTheme="majorBidi" w:cstheme="majorBidi"/>
          <w:bCs/>
        </w:rPr>
      </w:pPr>
      <w:r>
        <w:rPr>
          <w:rFonts w:asciiTheme="majorBidi" w:hAnsiTheme="majorBidi" w:cstheme="majorBidi"/>
          <w:bCs/>
        </w:rPr>
        <w:t>Siekdamas įgyvendinti Geros mokyklos strategiją didelį dėmesį skiriu mokymosi aplinkos kūrimui, kurią apima fiziniai ir socialiniai aspektai.</w:t>
      </w:r>
    </w:p>
    <w:p w:rsidR="00793E57" w:rsidRDefault="00793E57" w:rsidP="00793E57">
      <w:pPr>
        <w:jc w:val="both"/>
        <w:rPr>
          <w:b/>
        </w:rPr>
      </w:pPr>
      <w:r w:rsidRPr="00703D06">
        <w:rPr>
          <w:b/>
        </w:rPr>
        <w:t>5. Įstaigos veiklos kokybės įsivertinimas.</w:t>
      </w:r>
    </w:p>
    <w:p w:rsidR="00413683" w:rsidRDefault="00413683" w:rsidP="00793E57">
      <w:pPr>
        <w:jc w:val="both"/>
      </w:pPr>
      <w:r w:rsidRPr="00413683">
        <w:t>2017 metais mokyklos veiklos kokybės vidinio įsivertinimo grupė giluminiam auditui pasirinko veiklos rodiklį 2.1.2. „Lyderystė“</w:t>
      </w:r>
      <w:r>
        <w:t>.</w:t>
      </w:r>
    </w:p>
    <w:p w:rsidR="00413683" w:rsidRDefault="00413683" w:rsidP="00793E57">
      <w:pPr>
        <w:jc w:val="both"/>
      </w:pPr>
      <w:r>
        <w:t>Tyrimo naujumas ir aktualumas. Lietuvai vis giliau įleidžiant šaknis Vakarų erdvėje, švietimas atlieka esminį vaidmenį ugdant visuomenės pilietiškumą, stiprinant kūrybiškumą, kuriant sumanią, modernią ir atvirą visuomenę. Lūkesčiai mokyklų atžvilgiu auga, mokykloms keliami vis didesni reikalavimai. Mokykla tampa švietimo sistemos, o kartu</w:t>
      </w:r>
      <w:r w:rsidR="0070111D">
        <w:t xml:space="preserve"> </w:t>
      </w:r>
      <w:r>
        <w:t>ir visos visuomenės pokyčiu centru.</w:t>
      </w:r>
    </w:p>
    <w:p w:rsidR="00413683" w:rsidRDefault="00413683" w:rsidP="00793E57">
      <w:pPr>
        <w:jc w:val="both"/>
      </w:pPr>
      <w:r>
        <w:t xml:space="preserve">Vienas svarbiausių veiksnių, lemiančių sėkmingą šiuolaikinės mokyklos veiklą , yra lyderystė. Ji suvokiam ne kaip individualus reiškinys, o kaip sudėtingas sisteminis procesas. Ji atlieka pagrindinį vaidmenį gerinant mokyklos veiklos rezultatus, nes daro įtaką mokytojų motyvacijai ir sugebėjimams, taip pat veikia  mokyklos klimatą bei aplinką, padeda pasiekti geresnių </w:t>
      </w:r>
      <w:proofErr w:type="spellStart"/>
      <w:r>
        <w:t>mokymo(si</w:t>
      </w:r>
      <w:proofErr w:type="spellEnd"/>
      <w:r>
        <w:t>) rezultatų.</w:t>
      </w:r>
    </w:p>
    <w:p w:rsidR="00413683" w:rsidRDefault="00413683" w:rsidP="00793E57">
      <w:pPr>
        <w:jc w:val="both"/>
      </w:pPr>
      <w:r>
        <w:t>Atsižvelgiant į tai, kad lyderystės plėtra yra kiekvienos šiuolaikinės mokyklos siekiamybė, pasirinkome 2017-2018 m. tirti lyderystės reiškinį mokykloje įvairiais aspektais.</w:t>
      </w:r>
    </w:p>
    <w:p w:rsidR="00413683" w:rsidRDefault="00413683" w:rsidP="00793E57">
      <w:pPr>
        <w:jc w:val="both"/>
      </w:pPr>
      <w:r>
        <w:t>2016 m. gruodžio mėn. atlikę platųjį auditą pasirinkome nagrinėti 4 srities „Vadyba ir lyderystė“ 4.1.2. rodiklį „</w:t>
      </w:r>
      <w:r w:rsidR="00A300A6">
        <w:t>Lydery</w:t>
      </w:r>
      <w:r>
        <w:t>stė“.</w:t>
      </w:r>
    </w:p>
    <w:p w:rsidR="00413683" w:rsidRDefault="00413683" w:rsidP="00793E57">
      <w:pPr>
        <w:jc w:val="both"/>
      </w:pPr>
      <w:r>
        <w:t>2017 m. I pusmetį audito grupė rinko informaciją ir rengė „lyderystės“ sąvokos pristatymą mokyklos bendruomenei.</w:t>
      </w:r>
    </w:p>
    <w:p w:rsidR="00A300A6" w:rsidRDefault="00A300A6" w:rsidP="00793E57">
      <w:pPr>
        <w:jc w:val="both"/>
      </w:pPr>
      <w:r>
        <w:t>Veiklos etapai:</w:t>
      </w:r>
    </w:p>
    <w:p w:rsidR="00A300A6" w:rsidRDefault="00A300A6" w:rsidP="00793E57">
      <w:pPr>
        <w:jc w:val="both"/>
      </w:pPr>
      <w:r>
        <w:t>Kovo 14-21 dienomis, išklausė 6 akad. val. virtualų seminarą „Lyderis mokykloje. Koks jis? Kaip juo tapti?“ Lektorė L. Šerinė.</w:t>
      </w:r>
    </w:p>
    <w:p w:rsidR="00A300A6" w:rsidRDefault="00A300A6" w:rsidP="00793E57">
      <w:pPr>
        <w:jc w:val="both"/>
      </w:pPr>
      <w:r>
        <w:t>Nagrinėjo švietimo ir mokslo ministerijos leidinius: „Kiek lyderystės surasta Lietuvos mokykloje?” ir „Mokytojas lyderis – visuomenės varomoji jėga“.</w:t>
      </w:r>
    </w:p>
    <w:p w:rsidR="00A300A6" w:rsidRDefault="00A300A6" w:rsidP="00793E57">
      <w:pPr>
        <w:jc w:val="both"/>
      </w:pPr>
      <w:r>
        <w:t>2017 m. II pusmetis:</w:t>
      </w:r>
    </w:p>
    <w:p w:rsidR="00A300A6" w:rsidRDefault="00A300A6" w:rsidP="00793E57">
      <w:pPr>
        <w:jc w:val="both"/>
      </w:pPr>
      <w:r>
        <w:t xml:space="preserve">Nagrinėjo J. </w:t>
      </w:r>
      <w:proofErr w:type="spellStart"/>
      <w:r>
        <w:t>Kačkienės</w:t>
      </w:r>
      <w:proofErr w:type="spellEnd"/>
      <w:r>
        <w:t xml:space="preserve"> magistro baigiamąjį darbą „Lyderystės teorijos ir praktikos sąsaja bendrojo ugdymo mokykloje“ ir parengė klausimyną, kurio pagalba bus bandoma išsiaiškinti, koks pedagogų požiūris į lyderystę? Kodėl lyderystė reikalinga mokykloje ir kas jai trukdo plėstis“ Koks lyderystės modelis vyrauja mokykloje“ Kaip vertinama mokyklos vadovo lyderystės išraiška?</w:t>
      </w:r>
    </w:p>
    <w:p w:rsidR="00A300A6" w:rsidRPr="00413683" w:rsidRDefault="00A300A6" w:rsidP="00793E57">
      <w:pPr>
        <w:jc w:val="both"/>
      </w:pPr>
      <w:r>
        <w:t>Atliks apklausą ir apibendrins rezultatus, kuriuos gruodžio mėn. pristatys mokyklos bendruomenei.</w:t>
      </w:r>
    </w:p>
    <w:p w:rsidR="00793E57" w:rsidRDefault="00793E57" w:rsidP="00793E57">
      <w:pPr>
        <w:rPr>
          <w:b/>
        </w:rPr>
      </w:pPr>
      <w:r>
        <w:rPr>
          <w:b/>
        </w:rPr>
        <w:t>6. Problemos, susijusios su įstaigos veikla ir vadovų siūlomi problemų sprendimo būdai.</w:t>
      </w:r>
    </w:p>
    <w:p w:rsidR="00793E57" w:rsidRDefault="00A300A6" w:rsidP="00793E57">
      <w:pPr>
        <w:jc w:val="both"/>
      </w:pPr>
      <w:r>
        <w:t>2017 metais vis dar didelė problema buvo MK lėšų stygius, tačiau šiais metais priimti sprendimai leidžia tikėtis labai mažo deficito 2</w:t>
      </w:r>
      <w:r w:rsidR="00436D89">
        <w:t>018 metais ir dar mažesnio vėle</w:t>
      </w:r>
      <w:r>
        <w:t>sniais</w:t>
      </w:r>
      <w:r w:rsidR="00436D89">
        <w:t xml:space="preserve">. </w:t>
      </w:r>
    </w:p>
    <w:p w:rsidR="00436D89" w:rsidRDefault="00436D89" w:rsidP="00793E57">
      <w:pPr>
        <w:jc w:val="both"/>
      </w:pPr>
      <w:r>
        <w:t>Ankstesnėse ataskaitose minėtos temperatūros užtikrinimo problemos nėra išspręstos ir tapo dar aktualesnėmis, nes pastatas kasmet nusidėvi, sensta, o renovacija atidėliojama.</w:t>
      </w:r>
    </w:p>
    <w:p w:rsidR="00436D89" w:rsidRDefault="00F24F0B" w:rsidP="00793E57">
      <w:pPr>
        <w:jc w:val="both"/>
      </w:pPr>
      <w:r>
        <w:t>Nors mokykloje formaliai netrūksta jokios disciplinos specialisto, labai neramina tai, kad visiškai nesikreipia dėl darbo jauni mokytojai, o mokyklos mokytojų amžius vidurkis jau perkopė 50 metų.</w:t>
      </w:r>
    </w:p>
    <w:p w:rsidR="00F24F0B" w:rsidRDefault="00F24F0B" w:rsidP="00793E57">
      <w:pPr>
        <w:jc w:val="both"/>
      </w:pPr>
    </w:p>
    <w:p w:rsidR="00F24F0B" w:rsidRDefault="00F24F0B" w:rsidP="00793E57">
      <w:pPr>
        <w:jc w:val="both"/>
      </w:pPr>
    </w:p>
    <w:p w:rsidR="00F24F0B" w:rsidRDefault="00F24F0B" w:rsidP="00793E57">
      <w:pPr>
        <w:jc w:val="both"/>
      </w:pPr>
    </w:p>
    <w:p w:rsidR="00793E57" w:rsidRPr="004F5D13" w:rsidRDefault="00793E57" w:rsidP="00793E57">
      <w:pPr>
        <w:jc w:val="both"/>
        <w:sectPr w:rsidR="00793E57" w:rsidRPr="004F5D13" w:rsidSect="00D32720">
          <w:pgSz w:w="11906" w:h="16838"/>
          <w:pgMar w:top="1134" w:right="991" w:bottom="1134" w:left="1134" w:header="567" w:footer="567" w:gutter="0"/>
          <w:cols w:space="1296"/>
          <w:docGrid w:linePitch="360"/>
        </w:sectPr>
      </w:pPr>
      <w:r>
        <w:t>Direktorius</w:t>
      </w:r>
      <w:r>
        <w:tab/>
      </w:r>
      <w:r>
        <w:tab/>
      </w:r>
      <w:r>
        <w:tab/>
      </w:r>
      <w:r>
        <w:tab/>
      </w:r>
      <w:r>
        <w:tab/>
      </w:r>
      <w:r>
        <w:tab/>
        <w:t>Laisvūnas Vaičiūnas</w:t>
      </w:r>
    </w:p>
    <w:p w:rsidR="00793E57" w:rsidRDefault="00793E57" w:rsidP="00793E57"/>
    <w:p w:rsidR="00E45FA0" w:rsidRDefault="00E45FA0"/>
    <w:sectPr w:rsidR="00E45FA0" w:rsidSect="00A300A6">
      <w:type w:val="evenPage"/>
      <w:pgSz w:w="11906" w:h="16838" w:code="9"/>
      <w:pgMar w:top="170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D5A2E"/>
    <w:multiLevelType w:val="multilevel"/>
    <w:tmpl w:val="CFFED42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1FE9749E"/>
    <w:multiLevelType w:val="hybridMultilevel"/>
    <w:tmpl w:val="6576D8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1CB2944"/>
    <w:multiLevelType w:val="multilevel"/>
    <w:tmpl w:val="2E806B1C"/>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2816102E"/>
    <w:multiLevelType w:val="hybridMultilevel"/>
    <w:tmpl w:val="55E6CFC8"/>
    <w:lvl w:ilvl="0" w:tplc="73644D2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F9A68B9"/>
    <w:multiLevelType w:val="hybridMultilevel"/>
    <w:tmpl w:val="EE828E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BE75F8F"/>
    <w:multiLevelType w:val="multilevel"/>
    <w:tmpl w:val="CE0662D0"/>
    <w:lvl w:ilvl="0">
      <w:start w:val="1"/>
      <w:numFmt w:val="decimal"/>
      <w:lvlText w:val="%1."/>
      <w:lvlJc w:val="left"/>
      <w:pPr>
        <w:tabs>
          <w:tab w:val="num" w:pos="420"/>
        </w:tabs>
        <w:ind w:left="420" w:hanging="420"/>
      </w:pPr>
      <w:rPr>
        <w:rFonts w:cs="Times New Roman" w:hint="default"/>
      </w:rPr>
    </w:lvl>
    <w:lvl w:ilvl="1">
      <w:start w:val="1"/>
      <w:numFmt w:val="decimal"/>
      <w:lvlText w:val="%2."/>
      <w:lvlJc w:val="left"/>
      <w:pPr>
        <w:tabs>
          <w:tab w:val="num" w:pos="420"/>
        </w:tabs>
        <w:ind w:left="420" w:hanging="4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4C3D1314"/>
    <w:multiLevelType w:val="hybridMultilevel"/>
    <w:tmpl w:val="0F5CAD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1AA1E5B"/>
    <w:multiLevelType w:val="multilevel"/>
    <w:tmpl w:val="9C9CA3D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0"/>
  </w:num>
  <w:num w:numId="3">
    <w:abstractNumId w:val="7"/>
  </w:num>
  <w:num w:numId="4">
    <w:abstractNumId w:val="2"/>
  </w:num>
  <w:num w:numId="5">
    <w:abstractNumId w:val="4"/>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E57"/>
    <w:rsid w:val="00107626"/>
    <w:rsid w:val="00117978"/>
    <w:rsid w:val="001F7BF9"/>
    <w:rsid w:val="00280F46"/>
    <w:rsid w:val="002821FB"/>
    <w:rsid w:val="00386E33"/>
    <w:rsid w:val="00413683"/>
    <w:rsid w:val="00436D89"/>
    <w:rsid w:val="0044411B"/>
    <w:rsid w:val="005B0679"/>
    <w:rsid w:val="00602D63"/>
    <w:rsid w:val="00617AED"/>
    <w:rsid w:val="006A41E5"/>
    <w:rsid w:val="0070111D"/>
    <w:rsid w:val="00715BA0"/>
    <w:rsid w:val="00742DA7"/>
    <w:rsid w:val="00793E57"/>
    <w:rsid w:val="007C41DF"/>
    <w:rsid w:val="00853825"/>
    <w:rsid w:val="0087693D"/>
    <w:rsid w:val="00972B1E"/>
    <w:rsid w:val="009B5D8E"/>
    <w:rsid w:val="009E02CA"/>
    <w:rsid w:val="00A0148E"/>
    <w:rsid w:val="00A2782F"/>
    <w:rsid w:val="00A300A6"/>
    <w:rsid w:val="00AE6343"/>
    <w:rsid w:val="00AF1136"/>
    <w:rsid w:val="00C1622F"/>
    <w:rsid w:val="00CA3B4B"/>
    <w:rsid w:val="00CE5016"/>
    <w:rsid w:val="00D32720"/>
    <w:rsid w:val="00D84216"/>
    <w:rsid w:val="00E07270"/>
    <w:rsid w:val="00E45FA0"/>
    <w:rsid w:val="00E82DA8"/>
    <w:rsid w:val="00F24F0B"/>
    <w:rsid w:val="00F4696B"/>
    <w:rsid w:val="00FC76B3"/>
    <w:rsid w:val="00FD47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93E57"/>
    <w:pPr>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93E57"/>
    <w:pPr>
      <w:ind w:left="720"/>
      <w:contextualSpacing/>
    </w:pPr>
  </w:style>
  <w:style w:type="paragraph" w:customStyle="1" w:styleId="ListParagraph1">
    <w:name w:val="List Paragraph1"/>
    <w:basedOn w:val="prastasis"/>
    <w:rsid w:val="00793E57"/>
    <w:pPr>
      <w:ind w:left="720"/>
      <w:contextualSpacing/>
    </w:pPr>
  </w:style>
  <w:style w:type="character" w:styleId="Hipersaitas">
    <w:name w:val="Hyperlink"/>
    <w:basedOn w:val="Numatytasispastraiposriftas"/>
    <w:uiPriority w:val="99"/>
    <w:unhideWhenUsed/>
    <w:rsid w:val="00793E57"/>
    <w:rPr>
      <w:color w:val="0000FF" w:themeColor="hyperlink"/>
      <w:u w:val="single"/>
    </w:rPr>
  </w:style>
  <w:style w:type="table" w:customStyle="1" w:styleId="Lentelstinklelis2">
    <w:name w:val="Lentelės tinklelis2"/>
    <w:basedOn w:val="prastojilentel"/>
    <w:next w:val="Lentelstinklelis"/>
    <w:uiPriority w:val="59"/>
    <w:rsid w:val="00793E57"/>
    <w:pPr>
      <w:jc w:val="left"/>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793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327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2720"/>
    <w:rPr>
      <w:rFonts w:ascii="Tahoma" w:eastAsia="Times New Roman" w:hAnsi="Tahoma" w:cs="Tahoma"/>
      <w:sz w:val="16"/>
      <w:szCs w:val="16"/>
      <w:lang w:eastAsia="lt-LT"/>
    </w:rPr>
  </w:style>
  <w:style w:type="paragraph" w:styleId="Betarp">
    <w:name w:val="No Spacing"/>
    <w:uiPriority w:val="1"/>
    <w:qFormat/>
    <w:rsid w:val="005B0679"/>
    <w:pPr>
      <w:jc w:val="left"/>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93E57"/>
    <w:pPr>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93E57"/>
    <w:pPr>
      <w:ind w:left="720"/>
      <w:contextualSpacing/>
    </w:pPr>
  </w:style>
  <w:style w:type="paragraph" w:customStyle="1" w:styleId="ListParagraph1">
    <w:name w:val="List Paragraph1"/>
    <w:basedOn w:val="prastasis"/>
    <w:rsid w:val="00793E57"/>
    <w:pPr>
      <w:ind w:left="720"/>
      <w:contextualSpacing/>
    </w:pPr>
  </w:style>
  <w:style w:type="character" w:styleId="Hipersaitas">
    <w:name w:val="Hyperlink"/>
    <w:basedOn w:val="Numatytasispastraiposriftas"/>
    <w:uiPriority w:val="99"/>
    <w:unhideWhenUsed/>
    <w:rsid w:val="00793E57"/>
    <w:rPr>
      <w:color w:val="0000FF" w:themeColor="hyperlink"/>
      <w:u w:val="single"/>
    </w:rPr>
  </w:style>
  <w:style w:type="table" w:customStyle="1" w:styleId="Lentelstinklelis2">
    <w:name w:val="Lentelės tinklelis2"/>
    <w:basedOn w:val="prastojilentel"/>
    <w:next w:val="Lentelstinklelis"/>
    <w:uiPriority w:val="59"/>
    <w:rsid w:val="00793E57"/>
    <w:pPr>
      <w:jc w:val="left"/>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793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327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2720"/>
    <w:rPr>
      <w:rFonts w:ascii="Tahoma" w:eastAsia="Times New Roman" w:hAnsi="Tahoma" w:cs="Tahoma"/>
      <w:sz w:val="16"/>
      <w:szCs w:val="16"/>
      <w:lang w:eastAsia="lt-LT"/>
    </w:rPr>
  </w:style>
  <w:style w:type="paragraph" w:styleId="Betarp">
    <w:name w:val="No Spacing"/>
    <w:uiPriority w:val="1"/>
    <w:qFormat/>
    <w:rsid w:val="005B0679"/>
    <w:pPr>
      <w:jc w:val="left"/>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17513</Words>
  <Characters>9983</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SJNUS</cp:lastModifiedBy>
  <cp:revision>2</cp:revision>
  <cp:lastPrinted>2018-02-27T07:23:00Z</cp:lastPrinted>
  <dcterms:created xsi:type="dcterms:W3CDTF">2018-03-25T17:07:00Z</dcterms:created>
  <dcterms:modified xsi:type="dcterms:W3CDTF">2018-03-25T17:07:00Z</dcterms:modified>
</cp:coreProperties>
</file>